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6BEDA" w14:textId="77777777" w:rsidR="009C7866" w:rsidRDefault="009C7866">
      <w:pPr>
        <w:spacing w:before="2400"/>
        <w:rPr>
          <w:rFonts w:hint="eastAsia"/>
        </w:rPr>
      </w:pPr>
    </w:p>
    <w:p w14:paraId="6C64AEB3" w14:textId="77777777" w:rsidR="009C7866" w:rsidRDefault="000A7969">
      <w:pPr>
        <w:spacing w:after="200"/>
        <w:jc w:val="center"/>
        <w:rPr>
          <w:rFonts w:hint="eastAsia"/>
        </w:rPr>
      </w:pPr>
      <w:r>
        <w:rPr>
          <w:rFonts w:ascii="黑体" w:eastAsia="黑体" w:hAnsi="黑体" w:cs="黑体"/>
          <w:b/>
          <w:bCs/>
          <w:color w:val="1F3864"/>
          <w:sz w:val="52"/>
          <w:szCs w:val="52"/>
        </w:rPr>
        <w:t>环球医学进展</w:t>
      </w:r>
    </w:p>
    <w:p w14:paraId="6D8EEC74" w14:textId="77777777" w:rsidR="009C7866" w:rsidRDefault="000A7969">
      <w:pPr>
        <w:spacing w:after="120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4472C4"/>
          <w:sz w:val="28"/>
          <w:szCs w:val="28"/>
        </w:rPr>
        <w:t>Global Medical Progress</w:t>
      </w:r>
    </w:p>
    <w:p w14:paraId="1F121FD8" w14:textId="77777777" w:rsidR="009C7866" w:rsidRDefault="009C7866">
      <w:pPr>
        <w:spacing w:before="400"/>
        <w:rPr>
          <w:rFonts w:hint="eastAsia"/>
        </w:rPr>
      </w:pPr>
    </w:p>
    <w:p w14:paraId="155C6522" w14:textId="77777777" w:rsidR="009C7866" w:rsidRDefault="000A7969">
      <w:pPr>
        <w:spacing w:after="200"/>
        <w:jc w:val="center"/>
        <w:rPr>
          <w:rFonts w:hint="eastAsia"/>
        </w:rPr>
      </w:pPr>
      <w:r>
        <w:rPr>
          <w:color w:val="1F3864"/>
        </w:rPr>
        <w:t>━━━━━━━━━━━━━━━━━━━━</w:t>
      </w:r>
    </w:p>
    <w:p w14:paraId="14A07DA8" w14:textId="77777777" w:rsidR="009C7866" w:rsidRDefault="009C7866">
      <w:pPr>
        <w:spacing w:before="200"/>
        <w:rPr>
          <w:rFonts w:hint="eastAsia"/>
        </w:rPr>
      </w:pPr>
    </w:p>
    <w:p w14:paraId="6C014143" w14:textId="77777777" w:rsidR="009C7866" w:rsidRDefault="000A7969">
      <w:pPr>
        <w:spacing w:after="100"/>
        <w:jc w:val="center"/>
        <w:rPr>
          <w:rFonts w:hint="eastAsia"/>
        </w:rPr>
      </w:pPr>
      <w:r>
        <w:rPr>
          <w:rFonts w:ascii="黑体" w:eastAsia="黑体" w:hAnsi="黑体" w:cs="黑体"/>
          <w:b/>
          <w:bCs/>
          <w:sz w:val="44"/>
          <w:szCs w:val="44"/>
        </w:rPr>
        <w:t>审</w:t>
      </w:r>
      <w:r>
        <w:rPr>
          <w:rFonts w:ascii="黑体" w:eastAsia="黑体" w:hAnsi="黑体" w:cs="黑体"/>
          <w:b/>
          <w:bCs/>
          <w:sz w:val="44"/>
          <w:szCs w:val="44"/>
        </w:rPr>
        <w:t xml:space="preserve"> </w:t>
      </w:r>
      <w:r>
        <w:rPr>
          <w:rFonts w:ascii="黑体" w:eastAsia="黑体" w:hAnsi="黑体" w:cs="黑体"/>
          <w:b/>
          <w:bCs/>
          <w:sz w:val="44"/>
          <w:szCs w:val="44"/>
        </w:rPr>
        <w:t>稿</w:t>
      </w:r>
      <w:r>
        <w:rPr>
          <w:rFonts w:ascii="黑体" w:eastAsia="黑体" w:hAnsi="黑体" w:cs="黑体"/>
          <w:b/>
          <w:bCs/>
          <w:sz w:val="44"/>
          <w:szCs w:val="44"/>
        </w:rPr>
        <w:t xml:space="preserve"> </w:t>
      </w:r>
      <w:r>
        <w:rPr>
          <w:rFonts w:ascii="黑体" w:eastAsia="黑体" w:hAnsi="黑体" w:cs="黑体"/>
          <w:b/>
          <w:bCs/>
          <w:sz w:val="44"/>
          <w:szCs w:val="44"/>
        </w:rPr>
        <w:t>报</w:t>
      </w:r>
      <w:r>
        <w:rPr>
          <w:rFonts w:ascii="黑体" w:eastAsia="黑体" w:hAnsi="黑体" w:cs="黑体"/>
          <w:b/>
          <w:bCs/>
          <w:sz w:val="44"/>
          <w:szCs w:val="44"/>
        </w:rPr>
        <w:t xml:space="preserve"> </w:t>
      </w:r>
      <w:r>
        <w:rPr>
          <w:rFonts w:ascii="黑体" w:eastAsia="黑体" w:hAnsi="黑体" w:cs="黑体"/>
          <w:b/>
          <w:bCs/>
          <w:sz w:val="44"/>
          <w:szCs w:val="44"/>
        </w:rPr>
        <w:t>告</w:t>
      </w:r>
    </w:p>
    <w:p w14:paraId="0731A021" w14:textId="77777777" w:rsidR="009C7866" w:rsidRDefault="000A7969">
      <w:pPr>
        <w:spacing w:after="100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</w:rPr>
        <w:t>Review Report</w:t>
      </w:r>
    </w:p>
    <w:p w14:paraId="15D8BDF9" w14:textId="77777777" w:rsidR="009C7866" w:rsidRDefault="009C7866">
      <w:pPr>
        <w:spacing w:before="600"/>
        <w:rPr>
          <w:rFonts w:hint="eastAsia"/>
        </w:rPr>
      </w:pPr>
    </w:p>
    <w:p w14:paraId="36FCC4D6" w14:textId="77777777" w:rsidR="009C7866" w:rsidRDefault="000A7969">
      <w:pPr>
        <w:spacing w:after="80"/>
        <w:jc w:val="center"/>
        <w:rPr>
          <w:rFonts w:hint="eastAsia"/>
        </w:rPr>
      </w:pPr>
      <w:r>
        <w:t>稿件题目：虚拟病例联合</w:t>
      </w:r>
      <w:r>
        <w:t>CBL</w:t>
      </w:r>
      <w:r>
        <w:t>双轨式教学在肿瘤介入治疗</w:t>
      </w:r>
    </w:p>
    <w:p w14:paraId="1A18153E" w14:textId="77777777" w:rsidR="009C7866" w:rsidRDefault="000A7969">
      <w:pPr>
        <w:spacing w:after="80"/>
        <w:jc w:val="center"/>
        <w:rPr>
          <w:rFonts w:hint="eastAsia"/>
        </w:rPr>
      </w:pPr>
      <w:proofErr w:type="gramStart"/>
      <w:r>
        <w:t>规培教学</w:t>
      </w:r>
      <w:proofErr w:type="gramEnd"/>
      <w:r>
        <w:t>实践中的应用研究</w:t>
      </w:r>
    </w:p>
    <w:p w14:paraId="28F3BAA6" w14:textId="77777777" w:rsidR="009C7866" w:rsidRDefault="009C7866">
      <w:pPr>
        <w:spacing w:before="200"/>
        <w:rPr>
          <w:rFonts w:hint="eastAsia"/>
        </w:rPr>
      </w:pPr>
    </w:p>
    <w:p w14:paraId="294C44F4" w14:textId="77777777" w:rsidR="009C7866" w:rsidRDefault="000A7969">
      <w:pPr>
        <w:spacing w:after="80"/>
        <w:jc w:val="center"/>
        <w:rPr>
          <w:rFonts w:hint="eastAsia"/>
        </w:rPr>
      </w:pPr>
      <w:r>
        <w:t>稿件类型：论著（</w:t>
      </w:r>
      <w:r>
        <w:t>Original Article</w:t>
      </w:r>
      <w:r>
        <w:t>）</w:t>
      </w:r>
    </w:p>
    <w:p w14:paraId="6DFE0587" w14:textId="77777777" w:rsidR="009C7866" w:rsidRDefault="000A7969">
      <w:pPr>
        <w:spacing w:after="80"/>
        <w:jc w:val="center"/>
        <w:rPr>
          <w:rFonts w:hint="eastAsia"/>
        </w:rPr>
      </w:pPr>
      <w:r>
        <w:t>审稿日期：</w:t>
      </w:r>
      <w:r>
        <w:t>2026</w:t>
      </w:r>
      <w:r>
        <w:t>年</w:t>
      </w:r>
      <w:r>
        <w:t>7</w:t>
      </w:r>
      <w:r>
        <w:t>月</w:t>
      </w:r>
      <w:r>
        <w:t>24</w:t>
      </w:r>
      <w:r>
        <w:t>日</w:t>
      </w:r>
    </w:p>
    <w:p w14:paraId="4526F16C" w14:textId="77777777" w:rsidR="009C7866" w:rsidRDefault="009C7866">
      <w:pPr>
        <w:spacing w:before="600"/>
        <w:rPr>
          <w:rFonts w:hint="eastAsia"/>
        </w:rPr>
      </w:pPr>
    </w:p>
    <w:p w14:paraId="02088CF0" w14:textId="77777777" w:rsidR="009C7866" w:rsidRDefault="000A7969">
      <w:pPr>
        <w:spacing w:after="80"/>
        <w:jc w:val="center"/>
        <w:rPr>
          <w:rFonts w:hint="eastAsia"/>
        </w:rPr>
      </w:pPr>
      <w:r>
        <w:rPr>
          <w:b/>
          <w:bCs/>
        </w:rPr>
        <w:t>澳门科学出版社（</w:t>
      </w:r>
      <w:r>
        <w:rPr>
          <w:b/>
          <w:bCs/>
        </w:rPr>
        <w:t>MOSP</w:t>
      </w:r>
      <w:r>
        <w:rPr>
          <w:b/>
          <w:bCs/>
        </w:rPr>
        <w:t>）</w:t>
      </w:r>
    </w:p>
    <w:p w14:paraId="1D13785B" w14:textId="77777777" w:rsidR="009C7866" w:rsidRDefault="000A7969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color w:val="666666"/>
          <w:sz w:val="22"/>
          <w:szCs w:val="22"/>
        </w:rPr>
        <w:t>Macao Scientific Publishers</w:t>
      </w:r>
    </w:p>
    <w:p w14:paraId="0EFCF223" w14:textId="77777777" w:rsidR="009C7866" w:rsidRDefault="009C7866">
      <w:pPr>
        <w:rPr>
          <w:rFonts w:hint="eastAsia"/>
        </w:rPr>
        <w:sectPr w:rsidR="009C7866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18E1E03D" w14:textId="77777777" w:rsidR="009C7866" w:rsidRDefault="000A7969">
      <w:pPr>
        <w:pStyle w:val="1"/>
        <w:rPr>
          <w:rFonts w:hint="eastAsia"/>
        </w:rPr>
      </w:pPr>
      <w:r>
        <w:lastRenderedPageBreak/>
        <w:t>一、稿件基本信息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526"/>
      </w:tblGrid>
      <w:tr w:rsidR="009C7866" w14:paraId="4118BB8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644E7E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稿件标题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23F272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虚拟病例联合</w:t>
            </w:r>
            <w:r>
              <w:rPr>
                <w:sz w:val="21"/>
                <w:szCs w:val="21"/>
              </w:rPr>
              <w:t>CBL</w:t>
            </w:r>
            <w:r>
              <w:rPr>
                <w:sz w:val="21"/>
                <w:szCs w:val="21"/>
              </w:rPr>
              <w:t>双轨式教学在肿瘤介入治疗</w:t>
            </w:r>
            <w:proofErr w:type="gramStart"/>
            <w:r>
              <w:rPr>
                <w:sz w:val="21"/>
                <w:szCs w:val="21"/>
              </w:rPr>
              <w:t>规培教学</w:t>
            </w:r>
            <w:proofErr w:type="gramEnd"/>
            <w:r>
              <w:rPr>
                <w:sz w:val="21"/>
                <w:szCs w:val="21"/>
              </w:rPr>
              <w:t>实践中的应用研究</w:t>
            </w:r>
          </w:p>
        </w:tc>
      </w:tr>
      <w:tr w:rsidR="009C7866" w14:paraId="049EE16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DE37A0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英文标题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08E751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A Study on the Application of a Dual-Track Teaching Model Combining Virtual Cases and CBL in the Practical Training of Interventional Oncology</w:t>
            </w:r>
          </w:p>
        </w:tc>
      </w:tr>
      <w:tr w:rsidR="009C7866" w14:paraId="035C124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38D645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作者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811053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黄德佳，张佰纳，范立维，吴宗晟</w:t>
            </w:r>
          </w:p>
        </w:tc>
      </w:tr>
      <w:tr w:rsidR="009C7866" w14:paraId="5BEDE8D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35E443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82E090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广西医科大学附属肿瘤医院，介入治疗科，广西南宁</w:t>
            </w:r>
            <w:r>
              <w:rPr>
                <w:sz w:val="21"/>
                <w:szCs w:val="21"/>
              </w:rPr>
              <w:t xml:space="preserve"> 530021</w:t>
            </w:r>
          </w:p>
        </w:tc>
      </w:tr>
      <w:tr w:rsidR="009C7866" w14:paraId="2D6BAC7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9D1E0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稿件类型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55572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论著（</w:t>
            </w:r>
            <w:r>
              <w:rPr>
                <w:sz w:val="21"/>
                <w:szCs w:val="21"/>
              </w:rPr>
              <w:t>Original Article</w:t>
            </w:r>
            <w:r>
              <w:rPr>
                <w:sz w:val="21"/>
                <w:szCs w:val="21"/>
              </w:rPr>
              <w:t>）</w:t>
            </w:r>
          </w:p>
        </w:tc>
      </w:tr>
      <w:tr w:rsidR="009C7866" w14:paraId="7EC9901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C31D1B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通讯作者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4060AC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color w:val="CC0000"/>
                <w:sz w:val="21"/>
                <w:szCs w:val="21"/>
              </w:rPr>
              <w:t>未明确标注</w:t>
            </w:r>
          </w:p>
        </w:tc>
      </w:tr>
      <w:tr w:rsidR="009C7866" w14:paraId="23E912B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A9D691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基金资助</w:t>
            </w:r>
          </w:p>
        </w:tc>
        <w:tc>
          <w:tcPr>
            <w:tcW w:w="6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99373E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color w:val="CC0000"/>
                <w:sz w:val="21"/>
                <w:szCs w:val="21"/>
              </w:rPr>
              <w:t>未标注</w:t>
            </w:r>
          </w:p>
        </w:tc>
      </w:tr>
    </w:tbl>
    <w:p w14:paraId="3F7F3A50" w14:textId="77777777" w:rsidR="009C7866" w:rsidRDefault="009C7866">
      <w:pPr>
        <w:spacing w:before="400"/>
        <w:rPr>
          <w:rFonts w:hint="eastAsia"/>
        </w:rPr>
      </w:pPr>
    </w:p>
    <w:p w14:paraId="0EECEE60" w14:textId="77777777" w:rsidR="009C7866" w:rsidRDefault="000A7969">
      <w:pPr>
        <w:pStyle w:val="1"/>
        <w:rPr>
          <w:rFonts w:hint="eastAsia"/>
        </w:rPr>
      </w:pPr>
      <w:r>
        <w:t>二、综合评审意见</w:t>
      </w:r>
    </w:p>
    <w:p w14:paraId="32818E26" w14:textId="77777777" w:rsidR="009C7866" w:rsidRDefault="000A7969">
      <w:pPr>
        <w:pStyle w:val="2"/>
        <w:rPr>
          <w:rFonts w:hint="eastAsia"/>
        </w:rPr>
      </w:pPr>
      <w:r>
        <w:t xml:space="preserve">2.1 </w:t>
      </w:r>
      <w:r>
        <w:t>总体评价</w:t>
      </w:r>
    </w:p>
    <w:p w14:paraId="2F372744" w14:textId="77777777" w:rsidR="009C7866" w:rsidRDefault="000A7969">
      <w:pPr>
        <w:spacing w:after="120" w:line="360" w:lineRule="auto"/>
        <w:rPr>
          <w:rFonts w:hint="eastAsia"/>
        </w:rPr>
      </w:pPr>
      <w:r>
        <w:t>本文以广西医科大学附属肿瘤医院</w:t>
      </w:r>
      <w:r>
        <w:t>2024</w:t>
      </w:r>
      <w:r>
        <w:t>年</w:t>
      </w:r>
      <w:r>
        <w:t>7</w:t>
      </w:r>
      <w:r>
        <w:t>月至</w:t>
      </w:r>
      <w:r>
        <w:t>2026</w:t>
      </w:r>
      <w:r>
        <w:t>年</w:t>
      </w:r>
      <w:r>
        <w:t>6</w:t>
      </w:r>
      <w:r>
        <w:t>月期间参加肿瘤介入治疗</w:t>
      </w:r>
      <w:proofErr w:type="gramStart"/>
      <w:r>
        <w:t>规</w:t>
      </w:r>
      <w:proofErr w:type="gramEnd"/>
      <w:r>
        <w:t>培的</w:t>
      </w:r>
      <w:r>
        <w:t>60</w:t>
      </w:r>
      <w:r>
        <w:t>名学员为研究对象，采用历史队列研究设计，比较传统教学模式与虚拟病例联合</w:t>
      </w:r>
      <w:r>
        <w:t>CBL</w:t>
      </w:r>
      <w:r>
        <w:t>双轨式教学模式的教学效果。研究选题具有一定的新颖性和实践价值，聚焦于医学教育改革中的前沿问题</w:t>
      </w:r>
      <w:r>
        <w:t>——</w:t>
      </w:r>
      <w:r>
        <w:t>虚拟仿真技术与案例教学的融合应用，契合当前医学教育数字化转型的发展趋势。</w:t>
      </w:r>
    </w:p>
    <w:p w14:paraId="71EA1EE9" w14:textId="77777777" w:rsidR="009C7866" w:rsidRDefault="000A7969">
      <w:pPr>
        <w:spacing w:after="120" w:line="360" w:lineRule="auto"/>
        <w:rPr>
          <w:rFonts w:hint="eastAsia"/>
        </w:rPr>
      </w:pPr>
      <w:r>
        <w:t>文章整体结构完整，包含中英文摘要、引言、资料方法、结果、讨论和参考文献等标准论著要素。研究方法清晰，观察指标明确（理论考核、</w:t>
      </w:r>
      <w:r>
        <w:t>DOPS</w:t>
      </w:r>
      <w:r>
        <w:t>操作技能评估、</w:t>
      </w:r>
      <w:r>
        <w:t>SETQ</w:t>
      </w:r>
      <w:r>
        <w:t>教学质量评估、学员满意度），统计分析恰当。</w:t>
      </w:r>
    </w:p>
    <w:p w14:paraId="3DB0CE3A" w14:textId="77777777" w:rsidR="009C7866" w:rsidRDefault="000A7969">
      <w:pPr>
        <w:pStyle w:val="2"/>
        <w:rPr>
          <w:rFonts w:hint="eastAsia"/>
        </w:rPr>
      </w:pPr>
      <w:r>
        <w:t xml:space="preserve">2.2 </w:t>
      </w:r>
      <w:r>
        <w:t>审稿结论</w:t>
      </w:r>
    </w:p>
    <w:p w14:paraId="42E44B08" w14:textId="77777777" w:rsidR="009C7866" w:rsidRDefault="000A7969">
      <w:pPr>
        <w:spacing w:before="200" w:after="200"/>
        <w:rPr>
          <w:rFonts w:hint="eastAsia"/>
        </w:rPr>
      </w:pPr>
      <w:r>
        <w:rPr>
          <w:b/>
          <w:bCs/>
        </w:rPr>
        <w:t>审稿结论：</w:t>
      </w:r>
      <w:r>
        <w:rPr>
          <w:b/>
          <w:bCs/>
          <w:color w:val="CC6600"/>
          <w:sz w:val="26"/>
          <w:szCs w:val="26"/>
        </w:rPr>
        <w:t>修改后重审（</w:t>
      </w:r>
      <w:r>
        <w:rPr>
          <w:b/>
          <w:bCs/>
          <w:color w:val="CC6600"/>
          <w:sz w:val="26"/>
          <w:szCs w:val="26"/>
        </w:rPr>
        <w:t>Major Revision</w:t>
      </w:r>
      <w:r>
        <w:rPr>
          <w:b/>
          <w:bCs/>
          <w:color w:val="CC6600"/>
          <w:sz w:val="26"/>
          <w:szCs w:val="26"/>
        </w:rPr>
        <w:t>）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1400"/>
        <w:gridCol w:w="4126"/>
      </w:tblGrid>
      <w:tr w:rsidR="009C7866" w14:paraId="79EF842C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1F4214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评审维度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36E0BF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评分</w:t>
            </w:r>
            <w:r>
              <w:rPr>
                <w:b/>
                <w:bCs/>
                <w:color w:val="FFFFFF"/>
                <w:sz w:val="21"/>
                <w:szCs w:val="21"/>
              </w:rPr>
              <w:t>(1-10)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58ACF2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简要说明</w:t>
            </w:r>
          </w:p>
        </w:tc>
      </w:tr>
      <w:tr w:rsidR="009C7866" w14:paraId="2C0AE5A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E7807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选题新颖性与价值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3FA20C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889C9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选题具有实践价值，但创新性一般</w:t>
            </w:r>
          </w:p>
        </w:tc>
      </w:tr>
      <w:tr w:rsidR="009C7866" w14:paraId="77342CA5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8CE13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lastRenderedPageBreak/>
              <w:t>研究设计科学性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A66E4C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E2005A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历史队列研究设计存在固有偏倚</w:t>
            </w:r>
          </w:p>
        </w:tc>
      </w:tr>
      <w:tr w:rsidR="009C7866" w14:paraId="6390362B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A1BFBD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方法学严谨性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456AA3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8B2CE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部分方法描述不够详细</w:t>
            </w:r>
          </w:p>
        </w:tc>
      </w:tr>
      <w:tr w:rsidR="009C7866" w14:paraId="7858EE00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7AFC58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数据分析规范性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2F84F3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C34F9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统计方法正确，但表述有瑕疵</w:t>
            </w:r>
          </w:p>
        </w:tc>
      </w:tr>
      <w:tr w:rsidR="009C7866" w14:paraId="0AC5609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AF6306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讨论深度与逻辑性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69BBF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41BB91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讨论较充分但存在模板化痕迹</w:t>
            </w:r>
          </w:p>
        </w:tc>
      </w:tr>
      <w:tr w:rsidR="009C7866" w14:paraId="6536BF8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17ACE4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文献引用规范性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508278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A9EEB0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引用基本规范，但数量偏少</w:t>
            </w:r>
          </w:p>
        </w:tc>
      </w:tr>
      <w:tr w:rsidR="009C7866" w14:paraId="3A4FEB3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5DDBE3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写作与表达质量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C93808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7756F5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存在语言模板化、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痕迹等问题</w:t>
            </w:r>
          </w:p>
        </w:tc>
      </w:tr>
      <w:tr w:rsidR="009C7866" w14:paraId="2ED3EDE4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007521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与期刊契合度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A3107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7C2AB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属医学教育研究范畴，基本符合</w:t>
            </w:r>
          </w:p>
        </w:tc>
      </w:tr>
      <w:tr w:rsidR="009C7866" w14:paraId="13624FA6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0F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5A2084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综合评分</w:t>
            </w:r>
          </w:p>
        </w:tc>
        <w:tc>
          <w:tcPr>
            <w:tcW w:w="1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0F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9E35E2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6.5</w:t>
            </w:r>
          </w:p>
        </w:tc>
        <w:tc>
          <w:tcPr>
            <w:tcW w:w="4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0FE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85CEFB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sz w:val="21"/>
                <w:szCs w:val="21"/>
              </w:rPr>
              <w:t>建议修改后重审</w:t>
            </w:r>
          </w:p>
        </w:tc>
      </w:tr>
    </w:tbl>
    <w:p w14:paraId="3D964C53" w14:textId="77777777" w:rsidR="009C7866" w:rsidRDefault="009C7866">
      <w:pPr>
        <w:spacing w:before="400"/>
        <w:rPr>
          <w:rFonts w:hint="eastAsia"/>
        </w:rPr>
      </w:pPr>
    </w:p>
    <w:p w14:paraId="49FAEEC2" w14:textId="77777777" w:rsidR="009C7866" w:rsidRDefault="000A7969">
      <w:pPr>
        <w:pStyle w:val="1"/>
        <w:spacing w:before="400"/>
        <w:rPr>
          <w:rFonts w:hint="eastAsia"/>
        </w:rPr>
      </w:pPr>
      <w:r>
        <w:t>三、详细评审意见</w:t>
      </w:r>
    </w:p>
    <w:p w14:paraId="3AA663D1" w14:textId="77777777" w:rsidR="009C7866" w:rsidRDefault="000A7969">
      <w:pPr>
        <w:pStyle w:val="2"/>
        <w:rPr>
          <w:rFonts w:hint="eastAsia"/>
        </w:rPr>
      </w:pPr>
      <w:r>
        <w:t xml:space="preserve">3.1 </w:t>
      </w:r>
      <w:r>
        <w:t>优点与亮点</w:t>
      </w:r>
    </w:p>
    <w:p w14:paraId="1C500C83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选题契合热点：</w:t>
      </w:r>
      <w:r>
        <w:t>虚拟仿真教学与</w:t>
      </w:r>
      <w:r>
        <w:t>CBL</w:t>
      </w:r>
      <w:r>
        <w:t>教学法的融合是当前医学教育改革的前沿方向，研究具有较强的现实意义和参考价值。</w:t>
      </w:r>
    </w:p>
    <w:p w14:paraId="45FCD149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评估维度多元：</w:t>
      </w:r>
      <w:r>
        <w:t>采用理论考核、</w:t>
      </w:r>
      <w:r>
        <w:t>DOPS</w:t>
      </w:r>
      <w:r>
        <w:t>、</w:t>
      </w:r>
      <w:r>
        <w:t>SETQ</w:t>
      </w:r>
      <w:r>
        <w:t>量表和满意度问卷四个层面进行效果评估，评估体系较为完整，特别是引入了经过信效度验证的国际通用量表（</w:t>
      </w:r>
      <w:r>
        <w:t>SETQ</w:t>
      </w:r>
      <w:r>
        <w:t>），增强了结果的可信度。</w:t>
      </w:r>
    </w:p>
    <w:p w14:paraId="0EF5B33E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干预方案描述详细：</w:t>
      </w:r>
      <w:r>
        <w:t>观察组的教学干预方案描述较为具体，包括虚拟病例的四个模块设计（患者接诊、影像学诊断、介入治疗、术后评估）以及</w:t>
      </w:r>
      <w:r>
        <w:t>CBL</w:t>
      </w:r>
      <w:r>
        <w:t>教学的四步流程，具有可复现性。</w:t>
      </w:r>
    </w:p>
    <w:p w14:paraId="02E9FD36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中英文摘要完整：</w:t>
      </w:r>
      <w:r>
        <w:t>结构式摘要包含目的、方法、结果、结论四要素，英文摘要翻译基本准确。</w:t>
      </w:r>
    </w:p>
    <w:p w14:paraId="65A3B01F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局限性讨论诚实：</w:t>
      </w:r>
      <w:r>
        <w:t>作者在讨论末尾主动承认了单中心、小样本量、历史队列设计的局限性，表现出一定的学术诚信。</w:t>
      </w:r>
    </w:p>
    <w:p w14:paraId="53A8753F" w14:textId="77777777" w:rsidR="009C7866" w:rsidRDefault="000A7969">
      <w:pPr>
        <w:pStyle w:val="2"/>
        <w:spacing w:before="300"/>
        <w:rPr>
          <w:rFonts w:hint="eastAsia"/>
        </w:rPr>
      </w:pPr>
      <w:r>
        <w:t xml:space="preserve">3.2 </w:t>
      </w:r>
      <w:r>
        <w:t>主要问题与不足</w:t>
      </w:r>
    </w:p>
    <w:p w14:paraId="00A6D685" w14:textId="77777777" w:rsidR="009C7866" w:rsidRDefault="000A7969">
      <w:pPr>
        <w:pStyle w:val="3"/>
        <w:spacing w:before="200"/>
        <w:rPr>
          <w:rFonts w:hint="eastAsia"/>
        </w:rPr>
      </w:pPr>
      <w:r>
        <w:t xml:space="preserve">3.2.1 </w:t>
      </w:r>
      <w:r>
        <w:t>研究设计问题</w:t>
      </w:r>
    </w:p>
    <w:p w14:paraId="1B805D9F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历史队列研究的固有偏倚：</w:t>
      </w:r>
      <w:r>
        <w:t>对照组与观察组分别来自不同时间段（</w:t>
      </w:r>
      <w:r>
        <w:t>2024-2025 vs 2025-2026</w:t>
      </w:r>
      <w:r>
        <w:t>），两组的教学环境、学员基础水平、考核难度等可能存在系统性差异，且未进行倾向性评分匹配等偏倚控制措施。</w:t>
      </w:r>
    </w:p>
    <w:p w14:paraId="2694642C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时间逻辑矛盾：</w:t>
      </w:r>
      <w:r>
        <w:t>文章声称观察组为</w:t>
      </w:r>
      <w:r>
        <w:t>“2025</w:t>
      </w:r>
      <w:r>
        <w:t>年</w:t>
      </w:r>
      <w:r>
        <w:t>7</w:t>
      </w:r>
      <w:r>
        <w:t>月至</w:t>
      </w:r>
      <w:r>
        <w:t>2026</w:t>
      </w:r>
      <w:r>
        <w:t>年</w:t>
      </w:r>
      <w:r>
        <w:t>6</w:t>
      </w:r>
      <w:r>
        <w:t>月</w:t>
      </w:r>
      <w:r>
        <w:t>”</w:t>
      </w:r>
      <w:r>
        <w:t>的学员，但当前日期为</w:t>
      </w:r>
      <w:r>
        <w:t>2026</w:t>
      </w:r>
      <w:r>
        <w:t>年</w:t>
      </w:r>
      <w:r>
        <w:t>7</w:t>
      </w:r>
      <w:r>
        <w:t>月</w:t>
      </w:r>
      <w:r>
        <w:t>24</w:t>
      </w:r>
      <w:r>
        <w:t>日，观察组的教学和评估是否真正完成？如已完成，整个教学周期和论文撰写时间极其紧张，需作者澄清研究实施的实际时间线。</w:t>
      </w:r>
    </w:p>
    <w:p w14:paraId="25D3AEEF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lastRenderedPageBreak/>
        <w:t>样本量过小：</w:t>
      </w:r>
      <w:r>
        <w:t>每组仅</w:t>
      </w:r>
      <w:r>
        <w:t>30</w:t>
      </w:r>
      <w:r>
        <w:t>例，研究效能有限。</w:t>
      </w:r>
      <w:proofErr w:type="gramStart"/>
      <w:r>
        <w:t>虽然组</w:t>
      </w:r>
      <w:proofErr w:type="gramEnd"/>
      <w:r>
        <w:t>间比较获得了统计学显著性，但样本量过小可能导致效应量被高估。</w:t>
      </w:r>
    </w:p>
    <w:p w14:paraId="44EAD8D5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proofErr w:type="gramStart"/>
      <w:r>
        <w:rPr>
          <w:b/>
          <w:bCs/>
        </w:rPr>
        <w:t>单中心</w:t>
      </w:r>
      <w:proofErr w:type="gramEnd"/>
      <w:r>
        <w:rPr>
          <w:b/>
          <w:bCs/>
        </w:rPr>
        <w:t>局限性：</w:t>
      </w:r>
      <w:r>
        <w:t>仅在一家医院开展，外部效度有限。</w:t>
      </w:r>
    </w:p>
    <w:p w14:paraId="008D48F3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伦理审批缺失：</w:t>
      </w:r>
      <w:r>
        <w:t>文中未提及是否获得伦理委员会审批及学员知情同意。教育研究虽然风险较低，但作为正式发表的论著，应说明伦理审批情况。</w:t>
      </w:r>
    </w:p>
    <w:p w14:paraId="47343ABD" w14:textId="77777777" w:rsidR="009C7866" w:rsidRDefault="000A7969">
      <w:pPr>
        <w:pStyle w:val="3"/>
        <w:spacing w:before="200"/>
        <w:rPr>
          <w:rFonts w:hint="eastAsia"/>
        </w:rPr>
      </w:pPr>
      <w:r>
        <w:t xml:space="preserve">3.2.2 </w:t>
      </w:r>
      <w:r>
        <w:t>方法学细节问题</w:t>
      </w:r>
    </w:p>
    <w:p w14:paraId="39BE41CC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proofErr w:type="gramStart"/>
      <w:r>
        <w:rPr>
          <w:b/>
          <w:bCs/>
        </w:rPr>
        <w:t>盲法缺失</w:t>
      </w:r>
      <w:proofErr w:type="gramEnd"/>
      <w:r>
        <w:rPr>
          <w:b/>
          <w:bCs/>
        </w:rPr>
        <w:t>：</w:t>
      </w:r>
      <w:r>
        <w:t>虽然提到理论考试</w:t>
      </w:r>
      <w:r>
        <w:t>“</w:t>
      </w:r>
      <w:r>
        <w:t>由非带教教师统一命题</w:t>
      </w:r>
      <w:r>
        <w:t>”</w:t>
      </w:r>
      <w:r>
        <w:t>、</w:t>
      </w:r>
      <w:r>
        <w:t>DOPS</w:t>
      </w:r>
      <w:r>
        <w:t>由</w:t>
      </w:r>
      <w:r>
        <w:t>“</w:t>
      </w:r>
      <w:r>
        <w:t>非带教的高年资主治医师</w:t>
      </w:r>
      <w:r>
        <w:t>”</w:t>
      </w:r>
      <w:r>
        <w:t>评估，但未明确说明评估者是否对学员分组设盲。在非</w:t>
      </w:r>
      <w:proofErr w:type="gramStart"/>
      <w:r>
        <w:t>盲</w:t>
      </w:r>
      <w:proofErr w:type="gramEnd"/>
      <w:r>
        <w:t>情况下，评估者期望偏倚可能影响评分结果。</w:t>
      </w:r>
    </w:p>
    <w:p w14:paraId="52EF0BF2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考核工具信效度：</w:t>
      </w:r>
      <w:r>
        <w:t>自编理论试卷和满意度问卷未</w:t>
      </w:r>
      <w:proofErr w:type="gramStart"/>
      <w:r>
        <w:t>报告信</w:t>
      </w:r>
      <w:proofErr w:type="gramEnd"/>
      <w:r>
        <w:t>效度检验结果。</w:t>
      </w:r>
      <w:r>
        <w:t>DOPS</w:t>
      </w:r>
      <w:r>
        <w:t>和</w:t>
      </w:r>
      <w:r>
        <w:t>SETQ</w:t>
      </w:r>
      <w:r>
        <w:t>虽为成熟量表，但中文版是否经过本土化信效度检验？</w:t>
      </w:r>
    </w:p>
    <w:p w14:paraId="37AA1EC7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对照组描述过于简略：</w:t>
      </w:r>
      <w:r>
        <w:t>传统教学模式的描述仅</w:t>
      </w:r>
      <w:r>
        <w:t>3-4</w:t>
      </w:r>
      <w:r>
        <w:t>行，缺乏与观察组对等的细节描述（如教学课时、课程内容覆盖范围等），不利于判断两组是否在教学时间与内容上保持一致。</w:t>
      </w:r>
    </w:p>
    <w:p w14:paraId="146B864C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观察指标编号错误：</w:t>
      </w:r>
      <w:r>
        <w:t>第</w:t>
      </w:r>
      <w:r>
        <w:t>3.3</w:t>
      </w:r>
      <w:r>
        <w:t>节</w:t>
      </w:r>
      <w:r>
        <w:t>“</w:t>
      </w:r>
      <w:r>
        <w:t>教学质量评估</w:t>
      </w:r>
      <w:r>
        <w:t>”</w:t>
      </w:r>
      <w:r>
        <w:t>与第</w:t>
      </w:r>
      <w:r>
        <w:t>3.4</w:t>
      </w:r>
      <w:r>
        <w:t>节</w:t>
      </w:r>
      <w:r>
        <w:t>“</w:t>
      </w:r>
      <w:r>
        <w:t>学员满意度</w:t>
      </w:r>
      <w:r>
        <w:t>”</w:t>
      </w:r>
      <w:r>
        <w:t>的编号均标注为</w:t>
      </w:r>
      <w:r>
        <w:t>“(3)”</w:t>
      </w:r>
      <w:r>
        <w:t>，存在编号重复。</w:t>
      </w:r>
    </w:p>
    <w:p w14:paraId="7C0BC874" w14:textId="77777777" w:rsidR="009C7866" w:rsidRDefault="000A7969">
      <w:pPr>
        <w:pStyle w:val="3"/>
        <w:spacing w:before="200"/>
        <w:rPr>
          <w:rFonts w:hint="eastAsia"/>
        </w:rPr>
      </w:pPr>
      <w:r>
        <w:t xml:space="preserve">3.2.3 </w:t>
      </w:r>
      <w:r>
        <w:t>讨论部分问题</w:t>
      </w:r>
    </w:p>
    <w:p w14:paraId="6B1608D8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讨论结构模板化：</w:t>
      </w:r>
      <w:r>
        <w:t>讨论部分每段均为</w:t>
      </w:r>
      <w:r>
        <w:t>“</w:t>
      </w:r>
      <w:r>
        <w:t>本研究结果显示</w:t>
      </w:r>
      <w:r>
        <w:t>...</w:t>
      </w:r>
      <w:r>
        <w:t>提示</w:t>
      </w:r>
      <w:r>
        <w:t>...</w:t>
      </w:r>
      <w:r>
        <w:t>分析原因可能是</w:t>
      </w:r>
      <w:r>
        <w:t>...”</w:t>
      </w:r>
      <w:r>
        <w:t>的固定句式，结构高度重复，缺乏深入的理论分析和比较。</w:t>
      </w:r>
    </w:p>
    <w:p w14:paraId="475E264D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缺乏与同类研究的对比：</w:t>
      </w:r>
      <w:r>
        <w:t>讨论中引用了部分文献，但缺乏将本研究结果与国内外同类研究进行系统性对比分析。例如，研究结果是否与其他虚拟仿真教学研究的效果一致？本研究的独特贡献是什么？</w:t>
      </w:r>
    </w:p>
    <w:p w14:paraId="01F03E1B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因果推断过于肯定：</w:t>
      </w:r>
      <w:r>
        <w:t>在讨论中多次使用</w:t>
      </w:r>
      <w:r>
        <w:t>“</w:t>
      </w:r>
      <w:r>
        <w:t>表明</w:t>
      </w:r>
      <w:r>
        <w:t>”“</w:t>
      </w:r>
      <w:r>
        <w:t>体现出</w:t>
      </w:r>
      <w:r>
        <w:t>”</w:t>
      </w:r>
      <w:r>
        <w:t>等肯定性表述，但基于历史队列研究设计，仅能说明关联性而非因果性。</w:t>
      </w:r>
    </w:p>
    <w:p w14:paraId="788B3506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结论不完整：</w:t>
      </w:r>
      <w:r>
        <w:t>中文摘要结论句</w:t>
      </w:r>
      <w:r>
        <w:t>“</w:t>
      </w:r>
      <w:r>
        <w:t>学员的理论知识、操作技能水平和满意度</w:t>
      </w:r>
      <w:r>
        <w:t>”</w:t>
      </w:r>
      <w:r>
        <w:t>缺少谓语动词，句子不完整。</w:t>
      </w:r>
    </w:p>
    <w:p w14:paraId="0F7E0F43" w14:textId="77777777" w:rsidR="009C7866" w:rsidRDefault="000A7969">
      <w:pPr>
        <w:pStyle w:val="3"/>
        <w:spacing w:before="200"/>
        <w:rPr>
          <w:rFonts w:hint="eastAsia"/>
        </w:rPr>
      </w:pPr>
      <w:r>
        <w:t xml:space="preserve">3.2.4 </w:t>
      </w:r>
      <w:r>
        <w:t>参考文献问题</w:t>
      </w:r>
    </w:p>
    <w:p w14:paraId="721C2CEB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数量偏少：</w:t>
      </w:r>
      <w:r>
        <w:t>全文仅引用</w:t>
      </w:r>
      <w:r>
        <w:t>12</w:t>
      </w:r>
      <w:r>
        <w:t>篇参考文献，作为一篇教学研究论著，文献支撑略显单薄。建议补充更多国内外相关研究文献（建议</w:t>
      </w:r>
      <w:r>
        <w:t>≥20</w:t>
      </w:r>
      <w:r>
        <w:t>篇），特别是近</w:t>
      </w:r>
      <w:r>
        <w:t>3</w:t>
      </w:r>
      <w:r>
        <w:t>年的高质量文献。</w:t>
      </w:r>
    </w:p>
    <w:p w14:paraId="3DF41A53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核心参考文献高度相似：</w:t>
      </w:r>
      <w:r>
        <w:t>参考文献</w:t>
      </w:r>
      <w:r>
        <w:t>[6]</w:t>
      </w:r>
      <w:r>
        <w:t>（</w:t>
      </w:r>
      <w:proofErr w:type="gramStart"/>
      <w:r>
        <w:t>王章琴等</w:t>
      </w:r>
      <w:proofErr w:type="gramEnd"/>
      <w:r>
        <w:t>，</w:t>
      </w:r>
      <w:r>
        <w:t>2026</w:t>
      </w:r>
      <w:r>
        <w:t>）的研究标题与本文高度相似（</w:t>
      </w:r>
      <w:r>
        <w:t>“</w:t>
      </w:r>
      <w:r>
        <w:t>虚拟病例联合</w:t>
      </w:r>
      <w:r>
        <w:t>CBL</w:t>
      </w:r>
      <w:r>
        <w:t>双轨式教学在传染病护理学教学实践中的应用研究</w:t>
      </w:r>
      <w:r>
        <w:t>”</w:t>
      </w:r>
      <w:r>
        <w:t>），几乎是将同一研究范式移植到不同学科。作者需说明本研究的独立创新点。</w:t>
      </w:r>
    </w:p>
    <w:p w14:paraId="58A2ABCE" w14:textId="77777777" w:rsidR="009C7866" w:rsidRDefault="000A7969">
      <w:pPr>
        <w:pStyle w:val="a4"/>
        <w:numPr>
          <w:ilvl w:val="0"/>
          <w:numId w:val="3"/>
        </w:numPr>
        <w:rPr>
          <w:rFonts w:hint="eastAsia"/>
        </w:rPr>
      </w:pPr>
      <w:r>
        <w:rPr>
          <w:b/>
          <w:bCs/>
        </w:rPr>
        <w:t>部分文献时效性不足：</w:t>
      </w:r>
      <w:r>
        <w:t>参考文献</w:t>
      </w:r>
      <w:r>
        <w:t>[10]</w:t>
      </w:r>
      <w:r>
        <w:t>为</w:t>
      </w:r>
      <w:r>
        <w:t>2020</w:t>
      </w:r>
      <w:r>
        <w:t>年的文献，在信息技术快速迭代的背景下，信息化辅助教学的相关论述可能已显陈旧。</w:t>
      </w:r>
    </w:p>
    <w:p w14:paraId="73A5ECE0" w14:textId="77777777" w:rsidR="009C7866" w:rsidRDefault="000A7969">
      <w:pPr>
        <w:rPr>
          <w:rFonts w:hint="eastAsia"/>
        </w:rPr>
      </w:pPr>
      <w:r>
        <w:br w:type="page"/>
      </w:r>
    </w:p>
    <w:p w14:paraId="3F7D54EC" w14:textId="77777777" w:rsidR="009C7866" w:rsidRDefault="000A7969">
      <w:pPr>
        <w:pStyle w:val="1"/>
        <w:rPr>
          <w:rFonts w:hint="eastAsia"/>
        </w:rPr>
      </w:pPr>
      <w:r>
        <w:lastRenderedPageBreak/>
        <w:t>四、</w:t>
      </w:r>
      <w:r>
        <w:t>AI</w:t>
      </w:r>
      <w:r>
        <w:t>生成内容（</w:t>
      </w:r>
      <w:r>
        <w:t>AIGC</w:t>
      </w:r>
      <w:r>
        <w:t>）检测评估</w:t>
      </w:r>
    </w:p>
    <w:p w14:paraId="462FABD7" w14:textId="77777777" w:rsidR="009C7866" w:rsidRDefault="000A7969">
      <w:pPr>
        <w:spacing w:before="200"/>
        <w:rPr>
          <w:rFonts w:hint="eastAsia"/>
        </w:rPr>
      </w:pPr>
      <w:r>
        <w:t>基于当前主流的</w:t>
      </w:r>
      <w:r>
        <w:t>AI</w:t>
      </w:r>
      <w:r>
        <w:t>生成文本检测方法（包括语言模式分析、写作风格一致性评估、文本复杂</w:t>
      </w:r>
      <w:proofErr w:type="gramStart"/>
      <w:r>
        <w:t>度分析</w:t>
      </w:r>
      <w:proofErr w:type="gramEnd"/>
      <w:r>
        <w:t>等），对本文进行了综合</w:t>
      </w:r>
      <w:r>
        <w:t>AIGC</w:t>
      </w:r>
      <w:r>
        <w:t>痕迹评估。需要说明的是，本评估基于文本特征分析而非商业检测系统，结果仅供参考，建议作者</w:t>
      </w:r>
      <w:proofErr w:type="gramStart"/>
      <w:r>
        <w:t>通过知网</w:t>
      </w:r>
      <w:proofErr w:type="gramEnd"/>
      <w:r>
        <w:t>AIGC</w:t>
      </w:r>
      <w:r>
        <w:t>检测系统、维普</w:t>
      </w:r>
      <w:r>
        <w:t>AIGC</w:t>
      </w:r>
      <w:r>
        <w:t>检测系统等进行正式检测。</w:t>
      </w:r>
    </w:p>
    <w:p w14:paraId="2DE0233C" w14:textId="77777777" w:rsidR="009C7866" w:rsidRDefault="009C7866">
      <w:pPr>
        <w:spacing w:before="200"/>
        <w:rPr>
          <w:rFonts w:hint="eastAsia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1500"/>
        <w:gridCol w:w="4526"/>
      </w:tblGrid>
      <w:tr w:rsidR="009C7866" w14:paraId="5253ADB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B47D42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检测维度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35F2E4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风险等级</w:t>
            </w:r>
          </w:p>
        </w:tc>
        <w:tc>
          <w:tcPr>
            <w:tcW w:w="4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B3EB39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判断依据</w:t>
            </w:r>
          </w:p>
        </w:tc>
      </w:tr>
      <w:tr w:rsidR="009C7866" w14:paraId="5915375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3D292A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摘要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引言语言模式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61139E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color w:val="CC6600"/>
                <w:sz w:val="21"/>
                <w:szCs w:val="21"/>
              </w:rPr>
              <w:t>⚠</w:t>
            </w:r>
            <w:r>
              <w:rPr>
                <w:color w:val="CC6600"/>
                <w:sz w:val="21"/>
                <w:szCs w:val="21"/>
              </w:rPr>
              <w:t xml:space="preserve"> </w:t>
            </w:r>
            <w:r>
              <w:rPr>
                <w:color w:val="CC6600"/>
                <w:sz w:val="21"/>
                <w:szCs w:val="21"/>
              </w:rPr>
              <w:t>中等</w:t>
            </w:r>
          </w:p>
        </w:tc>
        <w:tc>
          <w:tcPr>
            <w:tcW w:w="4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3A427A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引言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为应对传统教学模式的不足</w:t>
            </w:r>
            <w:r>
              <w:rPr>
                <w:sz w:val="21"/>
                <w:szCs w:val="21"/>
              </w:rPr>
              <w:t>...</w:t>
            </w:r>
            <w:r>
              <w:rPr>
                <w:sz w:val="21"/>
                <w:szCs w:val="21"/>
              </w:rPr>
              <w:t>基于此，本研究采用</w:t>
            </w:r>
            <w:r>
              <w:rPr>
                <w:sz w:val="21"/>
                <w:szCs w:val="21"/>
              </w:rPr>
              <w:t>...”</w:t>
            </w:r>
            <w:r>
              <w:rPr>
                <w:sz w:val="21"/>
                <w:szCs w:val="21"/>
              </w:rPr>
              <w:t>的结构高度符合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生成论文的标准模板</w:t>
            </w:r>
          </w:p>
        </w:tc>
      </w:tr>
      <w:tr w:rsidR="009C7866" w14:paraId="30962E1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F993A0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方法学描述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A11461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color w:val="009900"/>
                <w:sz w:val="21"/>
                <w:szCs w:val="21"/>
              </w:rPr>
              <w:t>✓</w:t>
            </w:r>
            <w:r>
              <w:rPr>
                <w:color w:val="009900"/>
                <w:sz w:val="21"/>
                <w:szCs w:val="21"/>
              </w:rPr>
              <w:t xml:space="preserve"> </w:t>
            </w:r>
            <w:r>
              <w:rPr>
                <w:color w:val="009900"/>
                <w:sz w:val="21"/>
                <w:szCs w:val="21"/>
              </w:rPr>
              <w:t>低</w:t>
            </w:r>
          </w:p>
        </w:tc>
        <w:tc>
          <w:tcPr>
            <w:tcW w:w="4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978A01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方法学部分细节较多，包含具体的虚拟病例模块设计和</w:t>
            </w:r>
            <w:r>
              <w:rPr>
                <w:sz w:val="21"/>
                <w:szCs w:val="21"/>
              </w:rPr>
              <w:t>CBL</w:t>
            </w:r>
            <w:r>
              <w:rPr>
                <w:sz w:val="21"/>
                <w:szCs w:val="21"/>
              </w:rPr>
              <w:t>流程，个性化程度较高</w:t>
            </w:r>
          </w:p>
        </w:tc>
      </w:tr>
      <w:tr w:rsidR="009C7866" w14:paraId="110EEAD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740201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结果呈现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7D9051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color w:val="009900"/>
                <w:sz w:val="21"/>
                <w:szCs w:val="21"/>
              </w:rPr>
              <w:t>✓</w:t>
            </w:r>
            <w:r>
              <w:rPr>
                <w:color w:val="009900"/>
                <w:sz w:val="21"/>
                <w:szCs w:val="21"/>
              </w:rPr>
              <w:t xml:space="preserve"> </w:t>
            </w:r>
            <w:r>
              <w:rPr>
                <w:color w:val="009900"/>
                <w:sz w:val="21"/>
                <w:szCs w:val="21"/>
              </w:rPr>
              <w:t>低</w:t>
            </w:r>
          </w:p>
        </w:tc>
        <w:tc>
          <w:tcPr>
            <w:tcW w:w="4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1656DB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数据结果具体，包含具体的统计量（</w:t>
            </w:r>
            <w:r>
              <w:rPr>
                <w:sz w:val="21"/>
                <w:szCs w:val="21"/>
              </w:rPr>
              <w:t>t</w:t>
            </w:r>
            <w:r>
              <w:rPr>
                <w:sz w:val="21"/>
                <w:szCs w:val="21"/>
              </w:rPr>
              <w:t>值、</w:t>
            </w:r>
            <w:r>
              <w:rPr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值），数据呈现规范</w:t>
            </w:r>
          </w:p>
        </w:tc>
      </w:tr>
      <w:tr w:rsidR="009C7866" w14:paraId="7B18E0F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35D46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讨论部分语言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2DF7E3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color w:val="CC0000"/>
                <w:sz w:val="21"/>
                <w:szCs w:val="21"/>
              </w:rPr>
              <w:t>⚠⚠</w:t>
            </w:r>
            <w:r>
              <w:rPr>
                <w:color w:val="CC0000"/>
                <w:sz w:val="21"/>
                <w:szCs w:val="21"/>
              </w:rPr>
              <w:t xml:space="preserve"> </w:t>
            </w:r>
            <w:r>
              <w:rPr>
                <w:color w:val="CC0000"/>
                <w:sz w:val="21"/>
                <w:szCs w:val="21"/>
              </w:rPr>
              <w:t>较高</w:t>
            </w:r>
          </w:p>
        </w:tc>
        <w:tc>
          <w:tcPr>
            <w:tcW w:w="4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8B6E72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讨论部分每段均为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本研究结果显示</w:t>
            </w:r>
            <w:r>
              <w:rPr>
                <w:sz w:val="21"/>
                <w:szCs w:val="21"/>
              </w:rPr>
              <w:t>...</w:t>
            </w:r>
            <w:r>
              <w:rPr>
                <w:sz w:val="21"/>
                <w:szCs w:val="21"/>
              </w:rPr>
              <w:t>提示</w:t>
            </w:r>
            <w:r>
              <w:rPr>
                <w:sz w:val="21"/>
                <w:szCs w:val="21"/>
              </w:rPr>
              <w:t>...</w:t>
            </w:r>
            <w:r>
              <w:rPr>
                <w:sz w:val="21"/>
                <w:szCs w:val="21"/>
              </w:rPr>
              <w:t>分析原因可能是</w:t>
            </w:r>
            <w:r>
              <w:rPr>
                <w:sz w:val="21"/>
                <w:szCs w:val="21"/>
              </w:rPr>
              <w:t>...”</w:t>
            </w:r>
            <w:r>
              <w:rPr>
                <w:sz w:val="21"/>
                <w:szCs w:val="21"/>
              </w:rPr>
              <w:t>的固定模板结构，高度重复，是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生成文本的典型特征</w:t>
            </w:r>
          </w:p>
        </w:tc>
      </w:tr>
      <w:tr w:rsidR="009C7866" w14:paraId="78FB159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BE7A9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连接词与过渡语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72F638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color w:val="CC0000"/>
                <w:sz w:val="21"/>
                <w:szCs w:val="21"/>
              </w:rPr>
              <w:t>⚠⚠</w:t>
            </w:r>
            <w:r>
              <w:rPr>
                <w:color w:val="CC0000"/>
                <w:sz w:val="21"/>
                <w:szCs w:val="21"/>
              </w:rPr>
              <w:t xml:space="preserve"> </w:t>
            </w:r>
            <w:r>
              <w:rPr>
                <w:color w:val="CC0000"/>
                <w:sz w:val="21"/>
                <w:szCs w:val="21"/>
              </w:rPr>
              <w:t>较高</w:t>
            </w:r>
          </w:p>
        </w:tc>
        <w:tc>
          <w:tcPr>
            <w:tcW w:w="4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C822E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频繁使用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此外</w:t>
            </w:r>
            <w:r>
              <w:rPr>
                <w:sz w:val="21"/>
                <w:szCs w:val="21"/>
              </w:rPr>
              <w:t>”“</w:t>
            </w:r>
            <w:r>
              <w:rPr>
                <w:sz w:val="21"/>
                <w:szCs w:val="21"/>
              </w:rPr>
              <w:t>同时</w:t>
            </w:r>
            <w:r>
              <w:rPr>
                <w:sz w:val="21"/>
                <w:szCs w:val="21"/>
              </w:rPr>
              <w:t>”“</w:t>
            </w:r>
            <w:r>
              <w:rPr>
                <w:sz w:val="21"/>
                <w:szCs w:val="21"/>
              </w:rPr>
              <w:t>基于此</w:t>
            </w:r>
            <w:r>
              <w:rPr>
                <w:sz w:val="21"/>
                <w:szCs w:val="21"/>
              </w:rPr>
              <w:t>”“</w:t>
            </w:r>
            <w:r>
              <w:rPr>
                <w:sz w:val="21"/>
                <w:szCs w:val="21"/>
              </w:rPr>
              <w:t>综上所述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等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高频连接词，段落衔接模式单一</w:t>
            </w:r>
          </w:p>
        </w:tc>
      </w:tr>
      <w:tr w:rsidR="009C7866" w14:paraId="6CB31A3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7958CA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句式多样性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502A1A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color w:val="CC6600"/>
                <w:sz w:val="21"/>
                <w:szCs w:val="21"/>
              </w:rPr>
              <w:t>⚠</w:t>
            </w:r>
            <w:r>
              <w:rPr>
                <w:color w:val="CC6600"/>
                <w:sz w:val="21"/>
                <w:szCs w:val="21"/>
              </w:rPr>
              <w:t xml:space="preserve"> </w:t>
            </w:r>
            <w:r>
              <w:rPr>
                <w:color w:val="CC6600"/>
                <w:sz w:val="21"/>
                <w:szCs w:val="21"/>
              </w:rPr>
              <w:t>中等</w:t>
            </w:r>
          </w:p>
        </w:tc>
        <w:tc>
          <w:tcPr>
            <w:tcW w:w="4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6C16CA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讨论部分句式高度统一（因果解释句式），缺乏变化；但方法学和结果部分句式较自然</w:t>
            </w:r>
          </w:p>
        </w:tc>
      </w:tr>
      <w:tr w:rsidR="009C7866" w14:paraId="5E5C464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01EA8E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参考文献真实性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00827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color w:val="009900"/>
                <w:sz w:val="21"/>
                <w:szCs w:val="21"/>
              </w:rPr>
              <w:t>✓</w:t>
            </w:r>
            <w:r>
              <w:rPr>
                <w:color w:val="009900"/>
                <w:sz w:val="21"/>
                <w:szCs w:val="21"/>
              </w:rPr>
              <w:t xml:space="preserve"> </w:t>
            </w:r>
            <w:r>
              <w:rPr>
                <w:color w:val="009900"/>
                <w:sz w:val="21"/>
                <w:szCs w:val="21"/>
              </w:rPr>
              <w:t>低</w:t>
            </w:r>
          </w:p>
        </w:tc>
        <w:tc>
          <w:tcPr>
            <w:tcW w:w="4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958D59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参考文献格式规范，包含</w:t>
            </w:r>
            <w:proofErr w:type="gramStart"/>
            <w:r>
              <w:rPr>
                <w:sz w:val="21"/>
                <w:szCs w:val="21"/>
              </w:rPr>
              <w:t>具体卷期页码</w:t>
            </w:r>
            <w:proofErr w:type="gramEnd"/>
            <w:r>
              <w:rPr>
                <w:sz w:val="21"/>
                <w:szCs w:val="21"/>
              </w:rPr>
              <w:t>，未见明显的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编造痕迹</w:t>
            </w:r>
          </w:p>
        </w:tc>
      </w:tr>
      <w:tr w:rsidR="009C7866" w14:paraId="22CED5A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000AED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内容特异性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AFDB5F" w14:textId="77777777" w:rsidR="009C7866" w:rsidRDefault="000A7969">
            <w:pPr>
              <w:spacing w:after="60" w:line="300" w:lineRule="auto"/>
              <w:jc w:val="center"/>
              <w:rPr>
                <w:rFonts w:hint="eastAsia"/>
              </w:rPr>
            </w:pPr>
            <w:r>
              <w:rPr>
                <w:color w:val="CC6600"/>
                <w:sz w:val="21"/>
                <w:szCs w:val="21"/>
              </w:rPr>
              <w:t>⚠</w:t>
            </w:r>
            <w:r>
              <w:rPr>
                <w:color w:val="CC6600"/>
                <w:sz w:val="21"/>
                <w:szCs w:val="21"/>
              </w:rPr>
              <w:t xml:space="preserve"> </w:t>
            </w:r>
            <w:r>
              <w:rPr>
                <w:color w:val="CC6600"/>
                <w:sz w:val="21"/>
                <w:szCs w:val="21"/>
              </w:rPr>
              <w:t>中等</w:t>
            </w:r>
          </w:p>
        </w:tc>
        <w:tc>
          <w:tcPr>
            <w:tcW w:w="4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7FAAF9" w14:textId="77777777" w:rsidR="009C7866" w:rsidRDefault="000A7969">
            <w:pPr>
              <w:spacing w:after="60" w:line="300" w:lineRule="auto"/>
              <w:rPr>
                <w:rFonts w:hint="eastAsia"/>
              </w:rPr>
            </w:pPr>
            <w:r>
              <w:rPr>
                <w:sz w:val="21"/>
                <w:szCs w:val="21"/>
              </w:rPr>
              <w:t>部分讨论内容缺乏特异性，可替换为任何教学研究论文的通用讨论（如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提升课堂互动性</w:t>
            </w:r>
            <w:r>
              <w:rPr>
                <w:sz w:val="21"/>
                <w:szCs w:val="21"/>
              </w:rPr>
              <w:t>”“</w:t>
            </w:r>
            <w:r>
              <w:rPr>
                <w:sz w:val="21"/>
                <w:szCs w:val="21"/>
              </w:rPr>
              <w:t>激活学习主体性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等）</w:t>
            </w:r>
          </w:p>
        </w:tc>
      </w:tr>
    </w:tbl>
    <w:p w14:paraId="73E7D856" w14:textId="77777777" w:rsidR="009C7866" w:rsidRDefault="009C7866">
      <w:pPr>
        <w:spacing w:before="300"/>
        <w:rPr>
          <w:rFonts w:hint="eastAsia"/>
        </w:rPr>
      </w:pPr>
    </w:p>
    <w:p w14:paraId="1B709BED" w14:textId="77777777" w:rsidR="009C7866" w:rsidRDefault="000A7969">
      <w:pPr>
        <w:spacing w:after="80"/>
        <w:rPr>
          <w:rFonts w:hint="eastAsia"/>
        </w:rPr>
      </w:pPr>
      <w:r>
        <w:rPr>
          <w:b/>
          <w:bCs/>
        </w:rPr>
        <w:t>主要</w:t>
      </w:r>
      <w:r>
        <w:rPr>
          <w:b/>
          <w:bCs/>
        </w:rPr>
        <w:t>AI</w:t>
      </w:r>
      <w:r>
        <w:rPr>
          <w:b/>
          <w:bCs/>
        </w:rPr>
        <w:t>痕迹集中在：</w:t>
      </w:r>
      <w:r>
        <w:t>讨论部分（高度模板化）、引言末段（标准套路化结构）、部分过渡段落。</w:t>
      </w:r>
    </w:p>
    <w:p w14:paraId="4EC8AC2F" w14:textId="77777777" w:rsidR="009C7866" w:rsidRDefault="000A7969">
      <w:pPr>
        <w:rPr>
          <w:rFonts w:hint="eastAsia"/>
        </w:rPr>
      </w:pPr>
      <w:r>
        <w:br w:type="page"/>
      </w:r>
    </w:p>
    <w:p w14:paraId="03825E5F" w14:textId="77777777" w:rsidR="009C7866" w:rsidRDefault="000A7969">
      <w:pPr>
        <w:pStyle w:val="1"/>
        <w:rPr>
          <w:rFonts w:hint="eastAsia"/>
        </w:rPr>
      </w:pPr>
      <w:r>
        <w:lastRenderedPageBreak/>
        <w:t>五、具体修改建议</w:t>
      </w:r>
    </w:p>
    <w:p w14:paraId="3B6B0714" w14:textId="77777777" w:rsidR="009C7866" w:rsidRDefault="000A7969">
      <w:pPr>
        <w:pStyle w:val="2"/>
        <w:rPr>
          <w:rFonts w:hint="eastAsia"/>
        </w:rPr>
      </w:pPr>
      <w:r>
        <w:t xml:space="preserve">5.1 </w:t>
      </w:r>
      <w:r>
        <w:t>必须修改（</w:t>
      </w:r>
      <w:r>
        <w:t>Major Issues</w:t>
      </w:r>
      <w:r>
        <w:t>）</w:t>
      </w:r>
    </w:p>
    <w:p w14:paraId="13FB5652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补充伦理声明：</w:t>
      </w:r>
      <w:r>
        <w:t>在方法学部分增加伦理审批信息（审批单位及批号）以及学员知情同意情况。</w:t>
      </w:r>
    </w:p>
    <w:p w14:paraId="2C2B4947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澄清研究时间线：</w:t>
      </w:r>
      <w:r>
        <w:t>说明</w:t>
      </w:r>
      <w:r>
        <w:t>2025</w:t>
      </w:r>
      <w:r>
        <w:t>年</w:t>
      </w:r>
      <w:r>
        <w:t>7</w:t>
      </w:r>
      <w:r>
        <w:t>月至</w:t>
      </w:r>
      <w:r>
        <w:t>2026</w:t>
      </w:r>
      <w:r>
        <w:t>年</w:t>
      </w:r>
      <w:r>
        <w:t>6</w:t>
      </w:r>
      <w:r>
        <w:t>月的观察组数据是否已完整收集完毕。如数据为预收集或部分收集，需如实说明并讨论其影响。</w:t>
      </w:r>
    </w:p>
    <w:p w14:paraId="13A6F932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深度改写讨论部分：</w:t>
      </w:r>
      <w:r>
        <w:t>打破当前</w:t>
      </w:r>
      <w:r>
        <w:t>“</w:t>
      </w:r>
      <w:r>
        <w:t>本研究结果显示</w:t>
      </w:r>
      <w:r>
        <w:t>...</w:t>
      </w:r>
      <w:r>
        <w:t>提示</w:t>
      </w:r>
      <w:r>
        <w:t>...</w:t>
      </w:r>
      <w:r>
        <w:t>分析原因可能是</w:t>
      </w:r>
      <w:r>
        <w:t>...”</w:t>
      </w:r>
      <w:r>
        <w:t>的固定模板结构。建议：</w:t>
      </w:r>
      <w:r>
        <w:t>(a)</w:t>
      </w:r>
      <w:r>
        <w:t>增加与国内外同类研究的对比分析；</w:t>
      </w:r>
      <w:r>
        <w:t>(b)</w:t>
      </w:r>
      <w:r>
        <w:t>深入探讨可能的作用机制；</w:t>
      </w:r>
      <w:r>
        <w:t>(c)</w:t>
      </w:r>
      <w:r>
        <w:t>区分因果推断与关联性描述；</w:t>
      </w:r>
      <w:r>
        <w:t>(d)</w:t>
      </w:r>
      <w:r>
        <w:t>增加对阴性结果（专业态度</w:t>
      </w:r>
      <w:proofErr w:type="gramStart"/>
      <w:r>
        <w:t>维度无差异</w:t>
      </w:r>
      <w:proofErr w:type="gramEnd"/>
      <w:r>
        <w:t>）的深度讨论。</w:t>
      </w:r>
    </w:p>
    <w:p w14:paraId="07B2A2D2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补充考核工具信效度信息：</w:t>
      </w:r>
      <w:r>
        <w:t>报告自编理论试卷的内容效度（专家评审结果）、难度和区分度；报告满意度问卷的</w:t>
      </w:r>
      <w:r>
        <w:t>Cronbach's α</w:t>
      </w:r>
      <w:r>
        <w:t>系数。</w:t>
      </w:r>
    </w:p>
    <w:p w14:paraId="6B1D19D8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明确评估</w:t>
      </w:r>
      <w:proofErr w:type="gramStart"/>
      <w:r>
        <w:rPr>
          <w:b/>
          <w:bCs/>
        </w:rPr>
        <w:t>者盲法</w:t>
      </w:r>
      <w:proofErr w:type="gramEnd"/>
      <w:r>
        <w:rPr>
          <w:b/>
          <w:bCs/>
        </w:rPr>
        <w:t>：</w:t>
      </w:r>
      <w:r>
        <w:t>在方法学中明确说明评估者是否知晓学员的分组情况。如未设盲，需在局限性中讨论评估者期望偏倚的可能影响。</w:t>
      </w:r>
    </w:p>
    <w:p w14:paraId="56755F37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修正编号错误和语句问题：</w:t>
      </w:r>
      <w:r>
        <w:t>修正观察指标编号重复（两个</w:t>
      </w:r>
      <w:r>
        <w:t>“(3)”</w:t>
      </w:r>
      <w:r>
        <w:t>）；修正中文摘要结论句语法错误（</w:t>
      </w:r>
      <w:r>
        <w:t>“</w:t>
      </w:r>
      <w:r>
        <w:t>学员的理论知识、操作技能水平和满意度</w:t>
      </w:r>
      <w:r>
        <w:t>”</w:t>
      </w:r>
      <w:r>
        <w:t>缺少谓语）。</w:t>
      </w:r>
    </w:p>
    <w:p w14:paraId="6FD2A29C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说明与参考文献</w:t>
      </w:r>
      <w:r>
        <w:rPr>
          <w:b/>
          <w:bCs/>
        </w:rPr>
        <w:t>[6]</w:t>
      </w:r>
      <w:r>
        <w:rPr>
          <w:b/>
          <w:bCs/>
        </w:rPr>
        <w:t>的关系：</w:t>
      </w:r>
      <w:r>
        <w:t>参考文献</w:t>
      </w:r>
      <w:r>
        <w:t>[6]</w:t>
      </w:r>
      <w:r>
        <w:t>（</w:t>
      </w:r>
      <w:proofErr w:type="gramStart"/>
      <w:r>
        <w:t>王章琴等</w:t>
      </w:r>
      <w:proofErr w:type="gramEnd"/>
      <w:r>
        <w:t>）与本文研究范式高度相似。需在前言或讨论中明确本文的独立创新点与差异化贡献。</w:t>
      </w:r>
    </w:p>
    <w:p w14:paraId="7EB52E82" w14:textId="77777777" w:rsidR="009C7866" w:rsidRDefault="000A7969">
      <w:pPr>
        <w:pStyle w:val="2"/>
        <w:spacing w:before="300"/>
        <w:rPr>
          <w:rFonts w:hint="eastAsia"/>
        </w:rPr>
      </w:pPr>
      <w:r>
        <w:t xml:space="preserve">5.2 </w:t>
      </w:r>
      <w:r>
        <w:t>建议修改（</w:t>
      </w:r>
      <w:r>
        <w:t>Minor Issues</w:t>
      </w:r>
      <w:r>
        <w:t>）</w:t>
      </w:r>
    </w:p>
    <w:p w14:paraId="07C62A8A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扩充参考文献：</w:t>
      </w:r>
      <w:r>
        <w:t>建议将参考文献扩充至</w:t>
      </w:r>
      <w:r>
        <w:t>20-25</w:t>
      </w:r>
      <w:r>
        <w:t>篇，补充</w:t>
      </w:r>
      <w:proofErr w:type="gramStart"/>
      <w:r>
        <w:t>更多近</w:t>
      </w:r>
      <w:proofErr w:type="gramEnd"/>
      <w:r>
        <w:t>3</w:t>
      </w:r>
      <w:r>
        <w:t>年（</w:t>
      </w:r>
      <w:r>
        <w:t>2024-2026</w:t>
      </w:r>
      <w:r>
        <w:t>）的教学研究文献。</w:t>
      </w:r>
    </w:p>
    <w:p w14:paraId="585AA69B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增加对照</w:t>
      </w:r>
      <w:proofErr w:type="gramStart"/>
      <w:r>
        <w:rPr>
          <w:b/>
          <w:bCs/>
        </w:rPr>
        <w:t>组教学</w:t>
      </w:r>
      <w:proofErr w:type="gramEnd"/>
      <w:r>
        <w:rPr>
          <w:b/>
          <w:bCs/>
        </w:rPr>
        <w:t>方案细节：</w:t>
      </w:r>
      <w:r>
        <w:t>补充传统教学模式的课时数、教学内容大纲等，以便读者判断两组的可比性。</w:t>
      </w:r>
    </w:p>
    <w:p w14:paraId="28B6642C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标注通讯作者：</w:t>
      </w:r>
      <w:r>
        <w:t>明确标注通讯作者及其联系方式（电子邮箱）。</w:t>
      </w:r>
    </w:p>
    <w:p w14:paraId="782DB9FB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补充基金信息：</w:t>
      </w:r>
      <w:r>
        <w:t>如有课题资助请标注；如无资助，可标注</w:t>
      </w:r>
      <w:r>
        <w:t>“</w:t>
      </w:r>
      <w:r>
        <w:t>本研究未获得任何基金资助</w:t>
      </w:r>
      <w:r>
        <w:t>”</w:t>
      </w:r>
      <w:r>
        <w:t>。</w:t>
      </w:r>
    </w:p>
    <w:p w14:paraId="0D44D5C3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补充图表：</w:t>
      </w:r>
      <w:r>
        <w:t>建议增加流程图展示研究设计框架，或增加柱状图对比两组在各维度上的差异，提升文章的可读性。</w:t>
      </w:r>
    </w:p>
    <w:p w14:paraId="24C94BD2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格式规范化：</w:t>
      </w:r>
      <w:r>
        <w:t>中图分类号应标</w:t>
      </w:r>
      <w:proofErr w:type="gramStart"/>
      <w:r>
        <w:t>注具体</w:t>
      </w:r>
      <w:proofErr w:type="gramEnd"/>
      <w:r>
        <w:t>分类号而非方括号格式；英文摘要中拉丁学名和统计符号需使用斜体。</w:t>
      </w:r>
    </w:p>
    <w:p w14:paraId="596E70AF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rPr>
          <w:b/>
          <w:bCs/>
        </w:rPr>
        <w:t>避免过度使用</w:t>
      </w:r>
      <w:r>
        <w:rPr>
          <w:b/>
          <w:bCs/>
        </w:rPr>
        <w:t>“</w:t>
      </w:r>
      <w:r>
        <w:rPr>
          <w:b/>
          <w:bCs/>
        </w:rPr>
        <w:t>显著</w:t>
      </w:r>
      <w:r>
        <w:rPr>
          <w:b/>
          <w:bCs/>
        </w:rPr>
        <w:t>”</w:t>
      </w:r>
      <w:r>
        <w:rPr>
          <w:b/>
          <w:bCs/>
        </w:rPr>
        <w:t>一词：</w:t>
      </w:r>
      <w:r>
        <w:t>文中</w:t>
      </w:r>
      <w:r>
        <w:t>“</w:t>
      </w:r>
      <w:r>
        <w:t>显著</w:t>
      </w:r>
      <w:r>
        <w:t>”</w:t>
      </w:r>
      <w:r>
        <w:t>出现频率过高，建议部分替换为</w:t>
      </w:r>
      <w:r>
        <w:t>“</w:t>
      </w:r>
      <w:r>
        <w:t>明显</w:t>
      </w:r>
      <w:r>
        <w:t>”“</w:t>
      </w:r>
      <w:r>
        <w:t>较大幅度</w:t>
      </w:r>
      <w:r>
        <w:t>”</w:t>
      </w:r>
      <w:r>
        <w:t>等表达。</w:t>
      </w:r>
    </w:p>
    <w:p w14:paraId="7CE5C8A8" w14:textId="77777777" w:rsidR="009C7866" w:rsidRDefault="009C7866">
      <w:pPr>
        <w:spacing w:before="400"/>
        <w:rPr>
          <w:rFonts w:hint="eastAsia"/>
        </w:rPr>
      </w:pPr>
    </w:p>
    <w:p w14:paraId="5C8B8125" w14:textId="77777777" w:rsidR="009C7866" w:rsidRDefault="009C7866">
      <w:pPr>
        <w:spacing w:before="400"/>
        <w:rPr>
          <w:rFonts w:hint="eastAsia"/>
        </w:rPr>
      </w:pPr>
    </w:p>
    <w:p w14:paraId="6EE656BC" w14:textId="2B88B5E0" w:rsidR="009C7866" w:rsidRDefault="00BB58BC">
      <w:pPr>
        <w:pStyle w:val="1"/>
        <w:rPr>
          <w:rFonts w:hint="eastAsia"/>
        </w:rPr>
      </w:pPr>
      <w:r>
        <w:rPr>
          <w:rFonts w:hint="eastAsia"/>
        </w:rPr>
        <w:t>六</w:t>
      </w:r>
      <w:r w:rsidR="000A7969">
        <w:t>、总结与建议</w:t>
      </w:r>
    </w:p>
    <w:p w14:paraId="159A5286" w14:textId="77777777" w:rsidR="009C7866" w:rsidRDefault="000A7969">
      <w:pPr>
        <w:spacing w:after="120"/>
        <w:rPr>
          <w:rFonts w:hint="eastAsia"/>
        </w:rPr>
      </w:pPr>
      <w:r>
        <w:t>本文选题具有实践价值，研究设计基本合理，数据结果有参考意义。但存在以下核心</w:t>
      </w:r>
      <w:r>
        <w:lastRenderedPageBreak/>
        <w:t>问题需要在修稿中解决：</w:t>
      </w:r>
    </w:p>
    <w:p w14:paraId="5C5CABA1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t>讨论部分</w:t>
      </w:r>
      <w:r>
        <w:t>AI</w:t>
      </w:r>
      <w:r>
        <w:t>痕迹较重，需进行深度人工改写；</w:t>
      </w:r>
    </w:p>
    <w:p w14:paraId="6A312E3B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t>需补充伦理审批信息并澄清研究时间线；</w:t>
      </w:r>
    </w:p>
    <w:p w14:paraId="7BC7791A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t>需补充考核工具信效度</w:t>
      </w:r>
      <w:proofErr w:type="gramStart"/>
      <w:r>
        <w:t>及盲法信息</w:t>
      </w:r>
      <w:proofErr w:type="gramEnd"/>
      <w:r>
        <w:t>；</w:t>
      </w:r>
    </w:p>
    <w:p w14:paraId="2E7DDB53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t>需修正编号错误和语句问题；</w:t>
      </w:r>
    </w:p>
    <w:p w14:paraId="2D53C2D0" w14:textId="77777777" w:rsidR="009C7866" w:rsidRDefault="000A7969">
      <w:pPr>
        <w:pStyle w:val="a4"/>
        <w:numPr>
          <w:ilvl w:val="0"/>
          <w:numId w:val="2"/>
        </w:numPr>
        <w:rPr>
          <w:rFonts w:hint="eastAsia"/>
        </w:rPr>
      </w:pPr>
      <w:r>
        <w:t>需扩充文献并明确与同类研究的差异化贡献。</w:t>
      </w:r>
    </w:p>
    <w:p w14:paraId="0165803B" w14:textId="77777777" w:rsidR="009C7866" w:rsidRDefault="009C7866">
      <w:pPr>
        <w:spacing w:before="300"/>
        <w:rPr>
          <w:rFonts w:hint="eastAsia"/>
        </w:rPr>
      </w:pPr>
    </w:p>
    <w:p w14:paraId="2DF502AB" w14:textId="77777777" w:rsidR="009C7866" w:rsidRDefault="000A7969">
      <w:pPr>
        <w:spacing w:after="120"/>
        <w:rPr>
          <w:rFonts w:hint="eastAsia"/>
        </w:rPr>
      </w:pPr>
      <w:r>
        <w:t>如作者能够认真回应以上意见并完成修改，本文有望达到发表水平。建议给予</w:t>
      </w:r>
      <w:r>
        <w:rPr>
          <w:b/>
          <w:bCs/>
          <w:color w:val="CC6600"/>
        </w:rPr>
        <w:t>修改后重审（</w:t>
      </w:r>
      <w:r>
        <w:rPr>
          <w:b/>
          <w:bCs/>
          <w:color w:val="CC6600"/>
        </w:rPr>
        <w:t>Major Revision</w:t>
      </w:r>
      <w:r>
        <w:rPr>
          <w:b/>
          <w:bCs/>
          <w:color w:val="CC6600"/>
        </w:rPr>
        <w:t>）</w:t>
      </w:r>
      <w:r>
        <w:t>的决定。</w:t>
      </w:r>
    </w:p>
    <w:p w14:paraId="2B742C8C" w14:textId="77777777" w:rsidR="009C7866" w:rsidRDefault="009C7866">
      <w:pPr>
        <w:spacing w:before="400"/>
        <w:rPr>
          <w:rFonts w:hint="eastAsia"/>
        </w:rPr>
      </w:pPr>
    </w:p>
    <w:p w14:paraId="2D763FFF" w14:textId="77777777" w:rsidR="009C7866" w:rsidRDefault="000A7969">
      <w:pPr>
        <w:spacing w:after="60"/>
        <w:jc w:val="right"/>
        <w:rPr>
          <w:rFonts w:hint="eastAsia"/>
        </w:rPr>
      </w:pPr>
      <w:r>
        <w:t>《环球医学进展》编辑部</w:t>
      </w:r>
    </w:p>
    <w:p w14:paraId="2C81E98D" w14:textId="77777777" w:rsidR="009C7866" w:rsidRDefault="000A7969">
      <w:pPr>
        <w:spacing w:after="60"/>
        <w:jc w:val="right"/>
        <w:rPr>
          <w:rFonts w:hint="eastAsia"/>
        </w:rPr>
      </w:pPr>
      <w:r>
        <w:t>2026</w:t>
      </w:r>
      <w:r>
        <w:t>年</w:t>
      </w:r>
      <w:r>
        <w:t>7</w:t>
      </w:r>
      <w:r>
        <w:t>月</w:t>
      </w:r>
      <w:r>
        <w:t>24</w:t>
      </w:r>
      <w:r>
        <w:t>日</w:t>
      </w:r>
    </w:p>
    <w:sectPr w:rsidR="009C786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96453"/>
    <w:multiLevelType w:val="hybridMultilevel"/>
    <w:tmpl w:val="6B8E999C"/>
    <w:lvl w:ilvl="0" w:tplc="684493B8">
      <w:start w:val="1"/>
      <w:numFmt w:val="bullet"/>
      <w:lvlText w:val="●"/>
      <w:lvlJc w:val="left"/>
      <w:pPr>
        <w:ind w:left="720" w:hanging="360"/>
      </w:pPr>
    </w:lvl>
    <w:lvl w:ilvl="1" w:tplc="A0046554">
      <w:start w:val="1"/>
      <w:numFmt w:val="bullet"/>
      <w:lvlText w:val="○"/>
      <w:lvlJc w:val="left"/>
      <w:pPr>
        <w:ind w:left="1440" w:hanging="360"/>
      </w:pPr>
    </w:lvl>
    <w:lvl w:ilvl="2" w:tplc="BBCC3A5E">
      <w:start w:val="1"/>
      <w:numFmt w:val="bullet"/>
      <w:lvlText w:val="■"/>
      <w:lvlJc w:val="left"/>
      <w:pPr>
        <w:ind w:left="2160" w:hanging="360"/>
      </w:pPr>
    </w:lvl>
    <w:lvl w:ilvl="3" w:tplc="81F8AA80">
      <w:start w:val="1"/>
      <w:numFmt w:val="bullet"/>
      <w:lvlText w:val="●"/>
      <w:lvlJc w:val="left"/>
      <w:pPr>
        <w:ind w:left="2880" w:hanging="360"/>
      </w:pPr>
    </w:lvl>
    <w:lvl w:ilvl="4" w:tplc="A570281C">
      <w:start w:val="1"/>
      <w:numFmt w:val="bullet"/>
      <w:lvlText w:val="○"/>
      <w:lvlJc w:val="left"/>
      <w:pPr>
        <w:ind w:left="3600" w:hanging="360"/>
      </w:pPr>
    </w:lvl>
    <w:lvl w:ilvl="5" w:tplc="08340F4C">
      <w:start w:val="1"/>
      <w:numFmt w:val="bullet"/>
      <w:lvlText w:val="■"/>
      <w:lvlJc w:val="left"/>
      <w:pPr>
        <w:ind w:left="4320" w:hanging="360"/>
      </w:pPr>
    </w:lvl>
    <w:lvl w:ilvl="6" w:tplc="2200B2EA">
      <w:start w:val="1"/>
      <w:numFmt w:val="bullet"/>
      <w:lvlText w:val="●"/>
      <w:lvlJc w:val="left"/>
      <w:pPr>
        <w:ind w:left="5040" w:hanging="360"/>
      </w:pPr>
    </w:lvl>
    <w:lvl w:ilvl="7" w:tplc="639A7128">
      <w:start w:val="1"/>
      <w:numFmt w:val="bullet"/>
      <w:lvlText w:val="●"/>
      <w:lvlJc w:val="left"/>
      <w:pPr>
        <w:ind w:left="5760" w:hanging="360"/>
      </w:pPr>
    </w:lvl>
    <w:lvl w:ilvl="8" w:tplc="807A431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76F5ACC"/>
    <w:multiLevelType w:val="hybridMultilevel"/>
    <w:tmpl w:val="F906E37A"/>
    <w:lvl w:ilvl="0" w:tplc="69427D42">
      <w:start w:val="1"/>
      <w:numFmt w:val="decimal"/>
      <w:lvlText w:val="%1."/>
      <w:lvlJc w:val="left"/>
      <w:pPr>
        <w:ind w:left="720" w:hanging="360"/>
      </w:pPr>
    </w:lvl>
    <w:lvl w:ilvl="1" w:tplc="ED149D80">
      <w:numFmt w:val="decimal"/>
      <w:lvlText w:val=""/>
      <w:lvlJc w:val="left"/>
    </w:lvl>
    <w:lvl w:ilvl="2" w:tplc="C6101170">
      <w:numFmt w:val="decimal"/>
      <w:lvlText w:val=""/>
      <w:lvlJc w:val="left"/>
    </w:lvl>
    <w:lvl w:ilvl="3" w:tplc="481CDDC0">
      <w:numFmt w:val="decimal"/>
      <w:lvlText w:val=""/>
      <w:lvlJc w:val="left"/>
    </w:lvl>
    <w:lvl w:ilvl="4" w:tplc="9C10C126">
      <w:numFmt w:val="decimal"/>
      <w:lvlText w:val=""/>
      <w:lvlJc w:val="left"/>
    </w:lvl>
    <w:lvl w:ilvl="5" w:tplc="6C7C3062">
      <w:numFmt w:val="decimal"/>
      <w:lvlText w:val=""/>
      <w:lvlJc w:val="left"/>
    </w:lvl>
    <w:lvl w:ilvl="6" w:tplc="6DD05BE0">
      <w:numFmt w:val="decimal"/>
      <w:lvlText w:val=""/>
      <w:lvlJc w:val="left"/>
    </w:lvl>
    <w:lvl w:ilvl="7" w:tplc="06C4FA4A">
      <w:numFmt w:val="decimal"/>
      <w:lvlText w:val=""/>
      <w:lvlJc w:val="left"/>
    </w:lvl>
    <w:lvl w:ilvl="8" w:tplc="88605C08">
      <w:numFmt w:val="decimal"/>
      <w:lvlText w:val=""/>
      <w:lvlJc w:val="left"/>
    </w:lvl>
  </w:abstractNum>
  <w:abstractNum w:abstractNumId="2" w15:restartNumberingAfterBreak="0">
    <w:nsid w:val="55137753"/>
    <w:multiLevelType w:val="hybridMultilevel"/>
    <w:tmpl w:val="1924FFE4"/>
    <w:lvl w:ilvl="0" w:tplc="764241C8">
      <w:start w:val="1"/>
      <w:numFmt w:val="bullet"/>
      <w:lvlText w:val="•"/>
      <w:lvlJc w:val="left"/>
      <w:pPr>
        <w:ind w:left="720" w:hanging="360"/>
      </w:pPr>
    </w:lvl>
    <w:lvl w:ilvl="1" w:tplc="FAE25A44">
      <w:numFmt w:val="decimal"/>
      <w:lvlText w:val=""/>
      <w:lvlJc w:val="left"/>
    </w:lvl>
    <w:lvl w:ilvl="2" w:tplc="39467B6C">
      <w:numFmt w:val="decimal"/>
      <w:lvlText w:val=""/>
      <w:lvlJc w:val="left"/>
    </w:lvl>
    <w:lvl w:ilvl="3" w:tplc="707E1160">
      <w:numFmt w:val="decimal"/>
      <w:lvlText w:val=""/>
      <w:lvlJc w:val="left"/>
    </w:lvl>
    <w:lvl w:ilvl="4" w:tplc="CF14AB0A">
      <w:numFmt w:val="decimal"/>
      <w:lvlText w:val=""/>
      <w:lvlJc w:val="left"/>
    </w:lvl>
    <w:lvl w:ilvl="5" w:tplc="277881B8">
      <w:numFmt w:val="decimal"/>
      <w:lvlText w:val=""/>
      <w:lvlJc w:val="left"/>
    </w:lvl>
    <w:lvl w:ilvl="6" w:tplc="F1DAE450">
      <w:numFmt w:val="decimal"/>
      <w:lvlText w:val=""/>
      <w:lvlJc w:val="left"/>
    </w:lvl>
    <w:lvl w:ilvl="7" w:tplc="7570D5DA">
      <w:numFmt w:val="decimal"/>
      <w:lvlText w:val=""/>
      <w:lvlJc w:val="left"/>
    </w:lvl>
    <w:lvl w:ilvl="8" w:tplc="A26EF660">
      <w:numFmt w:val="decimal"/>
      <w:lvlText w:val=""/>
      <w:lvlJc w:val="left"/>
    </w:lvl>
  </w:abstractNum>
  <w:num w:numId="1" w16cid:durableId="1192063531">
    <w:abstractNumId w:val="0"/>
    <w:lvlOverride w:ilvl="0">
      <w:startOverride w:val="1"/>
    </w:lvlOverride>
  </w:num>
  <w:num w:numId="2" w16cid:durableId="374937231">
    <w:abstractNumId w:val="1"/>
    <w:lvlOverride w:ilvl="0">
      <w:startOverride w:val="1"/>
    </w:lvlOverride>
  </w:num>
  <w:num w:numId="3" w16cid:durableId="170408691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866"/>
    <w:rsid w:val="00260D97"/>
    <w:rsid w:val="009C7866"/>
    <w:rsid w:val="00BB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03C1D"/>
  <w15:docId w15:val="{C24EB723-F204-4637-8A90-0C7877F8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宋体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240" w:after="120"/>
      <w:outlineLvl w:val="0"/>
    </w:pPr>
    <w:rPr>
      <w:rFonts w:ascii="黑体" w:eastAsia="黑体" w:hAnsi="黑体" w:cs="黑体"/>
      <w:b/>
      <w:bCs/>
      <w:color w:val="1F3864"/>
      <w:sz w:val="32"/>
      <w:szCs w:val="32"/>
    </w:rPr>
  </w:style>
  <w:style w:type="paragraph" w:styleId="2">
    <w:name w:val="heading 2"/>
    <w:uiPriority w:val="9"/>
    <w:unhideWhenUsed/>
    <w:qFormat/>
    <w:pPr>
      <w:spacing w:before="200" w:after="100"/>
      <w:outlineLvl w:val="1"/>
    </w:pPr>
    <w:rPr>
      <w:rFonts w:ascii="黑体" w:eastAsia="黑体" w:hAnsi="黑体" w:cs="黑体"/>
      <w:b/>
      <w:bCs/>
      <w:sz w:val="28"/>
      <w:szCs w:val="28"/>
    </w:rPr>
  </w:style>
  <w:style w:type="paragraph" w:styleId="3">
    <w:name w:val="heading 3"/>
    <w:uiPriority w:val="9"/>
    <w:unhideWhenUsed/>
    <w:qFormat/>
    <w:pPr>
      <w:spacing w:before="160" w:after="80"/>
      <w:outlineLvl w:val="2"/>
    </w:pPr>
    <w:rPr>
      <w:b/>
      <w:bCs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2066</Words>
  <Characters>2336</Characters>
  <Application>Microsoft Office Word</Application>
  <DocSecurity>0</DocSecurity>
  <Lines>137</Lines>
  <Paragraphs>157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Yanqi Wu</cp:lastModifiedBy>
  <cp:revision>3</cp:revision>
  <dcterms:created xsi:type="dcterms:W3CDTF">2026-07-24T08:33:00Z</dcterms:created>
  <dcterms:modified xsi:type="dcterms:W3CDTF">2026-07-24T08:42:00Z</dcterms:modified>
</cp:coreProperties>
</file>