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38CE" w14:textId="77777777" w:rsidR="008836A7" w:rsidRDefault="008836A7">
      <w:pPr>
        <w:spacing w:before="2400"/>
        <w:rPr>
          <w:rFonts w:hint="eastAsia"/>
        </w:rPr>
      </w:pPr>
    </w:p>
    <w:p w14:paraId="1C95066A" w14:textId="77777777" w:rsidR="008836A7" w:rsidRDefault="00D62321">
      <w:pPr>
        <w:spacing w:after="200"/>
        <w:jc w:val="center"/>
        <w:rPr>
          <w:rFonts w:hint="eastAsia"/>
        </w:rPr>
      </w:pPr>
      <w:r>
        <w:rPr>
          <w:rFonts w:ascii="黑体" w:eastAsia="黑体" w:hAnsi="黑体" w:cs="黑体"/>
          <w:b/>
          <w:bCs/>
          <w:color w:val="1F3864"/>
          <w:sz w:val="52"/>
          <w:szCs w:val="52"/>
        </w:rPr>
        <w:t>环球医学进展</w:t>
      </w:r>
    </w:p>
    <w:p w14:paraId="1C23C03D" w14:textId="77777777" w:rsidR="008836A7" w:rsidRDefault="00D62321">
      <w:pPr>
        <w:spacing w:after="120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4472C4"/>
          <w:sz w:val="28"/>
          <w:szCs w:val="28"/>
        </w:rPr>
        <w:t>Global Medical Progress</w:t>
      </w:r>
    </w:p>
    <w:p w14:paraId="2292B2B0" w14:textId="77777777" w:rsidR="008836A7" w:rsidRDefault="008836A7">
      <w:pPr>
        <w:spacing w:before="400"/>
        <w:rPr>
          <w:rFonts w:hint="eastAsia"/>
        </w:rPr>
      </w:pPr>
    </w:p>
    <w:p w14:paraId="70DDCB33" w14:textId="77777777" w:rsidR="008836A7" w:rsidRDefault="00D62321">
      <w:pPr>
        <w:spacing w:after="200"/>
        <w:jc w:val="center"/>
        <w:rPr>
          <w:rFonts w:hint="eastAsia"/>
        </w:rPr>
      </w:pPr>
      <w:r>
        <w:rPr>
          <w:color w:val="1F3864"/>
        </w:rPr>
        <w:t>━━━━━━━━━━━━━━━━━━━━</w:t>
      </w:r>
    </w:p>
    <w:p w14:paraId="07C94563" w14:textId="77777777" w:rsidR="008836A7" w:rsidRDefault="008836A7">
      <w:pPr>
        <w:spacing w:before="200"/>
        <w:rPr>
          <w:rFonts w:hint="eastAsia"/>
        </w:rPr>
      </w:pPr>
    </w:p>
    <w:p w14:paraId="4F77A322" w14:textId="77777777" w:rsidR="008836A7" w:rsidRDefault="00D62321">
      <w:pPr>
        <w:spacing w:after="100"/>
        <w:jc w:val="center"/>
        <w:rPr>
          <w:rFonts w:hint="eastAsia"/>
        </w:rPr>
      </w:pPr>
      <w:r>
        <w:rPr>
          <w:rFonts w:ascii="黑体" w:eastAsia="黑体" w:hAnsi="黑体" w:cs="黑体"/>
          <w:b/>
          <w:bCs/>
          <w:sz w:val="44"/>
          <w:szCs w:val="44"/>
        </w:rPr>
        <w:t>审</w:t>
      </w:r>
      <w:r>
        <w:rPr>
          <w:rFonts w:ascii="黑体" w:eastAsia="黑体" w:hAnsi="黑体" w:cs="黑体"/>
          <w:b/>
          <w:bCs/>
          <w:sz w:val="44"/>
          <w:szCs w:val="44"/>
        </w:rPr>
        <w:t xml:space="preserve"> </w:t>
      </w:r>
      <w:r>
        <w:rPr>
          <w:rFonts w:ascii="黑体" w:eastAsia="黑体" w:hAnsi="黑体" w:cs="黑体"/>
          <w:b/>
          <w:bCs/>
          <w:sz w:val="44"/>
          <w:szCs w:val="44"/>
        </w:rPr>
        <w:t>稿</w:t>
      </w:r>
      <w:r>
        <w:rPr>
          <w:rFonts w:ascii="黑体" w:eastAsia="黑体" w:hAnsi="黑体" w:cs="黑体"/>
          <w:b/>
          <w:bCs/>
          <w:sz w:val="44"/>
          <w:szCs w:val="44"/>
        </w:rPr>
        <w:t xml:space="preserve"> </w:t>
      </w:r>
      <w:r>
        <w:rPr>
          <w:rFonts w:ascii="黑体" w:eastAsia="黑体" w:hAnsi="黑体" w:cs="黑体"/>
          <w:b/>
          <w:bCs/>
          <w:sz w:val="44"/>
          <w:szCs w:val="44"/>
        </w:rPr>
        <w:t>报</w:t>
      </w:r>
      <w:r>
        <w:rPr>
          <w:rFonts w:ascii="黑体" w:eastAsia="黑体" w:hAnsi="黑体" w:cs="黑体"/>
          <w:b/>
          <w:bCs/>
          <w:sz w:val="44"/>
          <w:szCs w:val="44"/>
        </w:rPr>
        <w:t xml:space="preserve"> </w:t>
      </w:r>
      <w:r>
        <w:rPr>
          <w:rFonts w:ascii="黑体" w:eastAsia="黑体" w:hAnsi="黑体" w:cs="黑体"/>
          <w:b/>
          <w:bCs/>
          <w:sz w:val="44"/>
          <w:szCs w:val="44"/>
        </w:rPr>
        <w:t>告</w:t>
      </w:r>
    </w:p>
    <w:p w14:paraId="3BBA23B9" w14:textId="77777777" w:rsidR="008836A7" w:rsidRDefault="00D62321">
      <w:pPr>
        <w:spacing w:after="100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</w:rPr>
        <w:t>Review Report</w:t>
      </w:r>
    </w:p>
    <w:p w14:paraId="6EF937E9" w14:textId="77777777" w:rsidR="008836A7" w:rsidRDefault="008836A7">
      <w:pPr>
        <w:spacing w:before="600"/>
        <w:rPr>
          <w:rFonts w:hint="eastAsia"/>
        </w:rPr>
      </w:pPr>
    </w:p>
    <w:p w14:paraId="69E2DF53" w14:textId="77777777" w:rsidR="008836A7" w:rsidRDefault="00D62321">
      <w:pPr>
        <w:spacing w:after="80"/>
        <w:jc w:val="center"/>
        <w:rPr>
          <w:rFonts w:hint="eastAsia"/>
        </w:rPr>
      </w:pPr>
      <w:r>
        <w:t>稿件题目：妊娠不同时期感染新型冠状病毒</w:t>
      </w:r>
    </w:p>
    <w:p w14:paraId="3F9E72C1" w14:textId="77777777" w:rsidR="008836A7" w:rsidRDefault="00D62321">
      <w:pPr>
        <w:spacing w:after="80"/>
        <w:jc w:val="center"/>
        <w:rPr>
          <w:rFonts w:hint="eastAsia"/>
        </w:rPr>
      </w:pPr>
      <w:r>
        <w:t>孕妇临床特征及对妊娠结局的影响</w:t>
      </w:r>
    </w:p>
    <w:p w14:paraId="3CA53CC4" w14:textId="77777777" w:rsidR="008836A7" w:rsidRDefault="008836A7">
      <w:pPr>
        <w:spacing w:before="200"/>
        <w:rPr>
          <w:rFonts w:hint="eastAsia"/>
        </w:rPr>
      </w:pPr>
    </w:p>
    <w:p w14:paraId="2A18FF33" w14:textId="77777777" w:rsidR="008836A7" w:rsidRDefault="00D62321">
      <w:pPr>
        <w:spacing w:after="80"/>
        <w:jc w:val="center"/>
        <w:rPr>
          <w:rFonts w:hint="eastAsia"/>
        </w:rPr>
      </w:pPr>
      <w:r>
        <w:t>稿件类型：论著（</w:t>
      </w:r>
      <w:r>
        <w:t>Original Article</w:t>
      </w:r>
      <w:r>
        <w:t>）</w:t>
      </w:r>
    </w:p>
    <w:p w14:paraId="1C0312C2" w14:textId="77777777" w:rsidR="008836A7" w:rsidRDefault="00D62321">
      <w:pPr>
        <w:spacing w:after="80"/>
        <w:jc w:val="center"/>
        <w:rPr>
          <w:rFonts w:hint="eastAsia"/>
        </w:rPr>
      </w:pPr>
      <w:r>
        <w:t>审稿日期：</w:t>
      </w:r>
      <w:r>
        <w:t>2026</w:t>
      </w:r>
      <w:r>
        <w:t>年</w:t>
      </w:r>
      <w:r>
        <w:t>7</w:t>
      </w:r>
      <w:r>
        <w:t>月</w:t>
      </w:r>
      <w:r>
        <w:t>24</w:t>
      </w:r>
      <w:r>
        <w:t>日</w:t>
      </w:r>
    </w:p>
    <w:p w14:paraId="3CF35E0A" w14:textId="77777777" w:rsidR="008836A7" w:rsidRDefault="008836A7">
      <w:pPr>
        <w:spacing w:before="600"/>
        <w:rPr>
          <w:rFonts w:hint="eastAsia"/>
        </w:rPr>
      </w:pPr>
    </w:p>
    <w:p w14:paraId="5F6B7CFF" w14:textId="77777777" w:rsidR="008836A7" w:rsidRDefault="00D62321">
      <w:pPr>
        <w:spacing w:after="80"/>
        <w:jc w:val="center"/>
        <w:rPr>
          <w:rFonts w:hint="eastAsia"/>
        </w:rPr>
      </w:pPr>
      <w:r>
        <w:rPr>
          <w:b/>
          <w:bCs/>
        </w:rPr>
        <w:t>澳门科学出版社（</w:t>
      </w:r>
      <w:r>
        <w:rPr>
          <w:b/>
          <w:bCs/>
        </w:rPr>
        <w:t>MOSP</w:t>
      </w:r>
      <w:r>
        <w:rPr>
          <w:b/>
          <w:bCs/>
        </w:rPr>
        <w:t>）</w:t>
      </w:r>
    </w:p>
    <w:p w14:paraId="39A73AE6" w14:textId="77777777" w:rsidR="008836A7" w:rsidRDefault="00D62321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666666"/>
          <w:sz w:val="22"/>
          <w:szCs w:val="22"/>
        </w:rPr>
        <w:t>Macao Scientific Publishers</w:t>
      </w:r>
    </w:p>
    <w:p w14:paraId="5F8B517C" w14:textId="77777777" w:rsidR="008836A7" w:rsidRDefault="008836A7">
      <w:pPr>
        <w:rPr>
          <w:rFonts w:hint="eastAsia"/>
        </w:rPr>
        <w:sectPr w:rsidR="008836A7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7EC1EA45" w14:textId="77777777" w:rsidR="008836A7" w:rsidRDefault="00D62321">
      <w:pPr>
        <w:pStyle w:val="1"/>
        <w:rPr>
          <w:rFonts w:hint="eastAsia"/>
        </w:rPr>
      </w:pPr>
      <w:r>
        <w:lastRenderedPageBreak/>
        <w:t>一、稿件基本信息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526"/>
      </w:tblGrid>
      <w:tr w:rsidR="008836A7" w14:paraId="1D1AC5C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454C4E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稿件标题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8D3443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妊娠不同时期感染新型冠状病毒孕妇临床特征及对妊娠结局的影响</w:t>
            </w:r>
          </w:p>
        </w:tc>
      </w:tr>
      <w:tr w:rsidR="008836A7" w14:paraId="10770E0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226286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作者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2A727D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王朝红，黄建春，何凌，莫艳萍，黄爱萍（通讯作者）</w:t>
            </w:r>
          </w:p>
        </w:tc>
      </w:tr>
      <w:tr w:rsidR="008836A7" w14:paraId="0B63EFC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15272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4B296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南宁市第二人民医院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产科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广西南宁</w:t>
            </w:r>
            <w:r>
              <w:rPr>
                <w:sz w:val="21"/>
                <w:szCs w:val="21"/>
              </w:rPr>
              <w:t xml:space="preserve"> 530031</w:t>
            </w:r>
          </w:p>
        </w:tc>
      </w:tr>
      <w:tr w:rsidR="008836A7" w14:paraId="4A0DD3E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F32DA5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稿件类型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2ABFD2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论著（</w:t>
            </w:r>
            <w:r>
              <w:rPr>
                <w:sz w:val="21"/>
                <w:szCs w:val="21"/>
              </w:rPr>
              <w:t>Original Article</w:t>
            </w:r>
            <w:r>
              <w:rPr>
                <w:sz w:val="21"/>
                <w:szCs w:val="21"/>
              </w:rPr>
              <w:t>）</w:t>
            </w:r>
          </w:p>
        </w:tc>
      </w:tr>
      <w:tr w:rsidR="008836A7" w14:paraId="7C38245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87EFA9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通讯作者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01E196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color w:val="CC6600"/>
                <w:sz w:val="21"/>
                <w:szCs w:val="21"/>
              </w:rPr>
              <w:t>已标注（黄爱萍），但未提供电子邮箱</w:t>
            </w:r>
          </w:p>
        </w:tc>
      </w:tr>
      <w:tr w:rsidR="008836A7" w14:paraId="09DFD78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D7DAC8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基金资助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F0D9C9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color w:val="009900"/>
                <w:sz w:val="21"/>
                <w:szCs w:val="21"/>
              </w:rPr>
              <w:t>广西壮族自治区中医药管理局自筹经费科研课题（</w:t>
            </w:r>
            <w:r>
              <w:rPr>
                <w:color w:val="009900"/>
                <w:sz w:val="21"/>
                <w:szCs w:val="21"/>
              </w:rPr>
              <w:t>GXZYA20230425</w:t>
            </w:r>
            <w:r>
              <w:rPr>
                <w:color w:val="009900"/>
                <w:sz w:val="21"/>
                <w:szCs w:val="21"/>
              </w:rPr>
              <w:t>）</w:t>
            </w:r>
          </w:p>
        </w:tc>
      </w:tr>
    </w:tbl>
    <w:p w14:paraId="6B5C11E9" w14:textId="77777777" w:rsidR="008836A7" w:rsidRDefault="008836A7">
      <w:pPr>
        <w:spacing w:before="400"/>
        <w:rPr>
          <w:rFonts w:hint="eastAsia"/>
        </w:rPr>
      </w:pPr>
    </w:p>
    <w:p w14:paraId="4627F681" w14:textId="77777777" w:rsidR="008836A7" w:rsidRDefault="00D62321">
      <w:pPr>
        <w:pStyle w:val="1"/>
        <w:rPr>
          <w:rFonts w:hint="eastAsia"/>
        </w:rPr>
      </w:pPr>
      <w:r>
        <w:t>二、综合评审意见</w:t>
      </w:r>
    </w:p>
    <w:p w14:paraId="06288B35" w14:textId="77777777" w:rsidR="008836A7" w:rsidRDefault="00D62321">
      <w:pPr>
        <w:pStyle w:val="2"/>
        <w:rPr>
          <w:rFonts w:hint="eastAsia"/>
        </w:rPr>
      </w:pPr>
      <w:r>
        <w:t xml:space="preserve">2.1 </w:t>
      </w:r>
      <w:r>
        <w:t>总体评价</w:t>
      </w:r>
    </w:p>
    <w:p w14:paraId="5C7129A6" w14:textId="77777777" w:rsidR="008836A7" w:rsidRDefault="00D62321">
      <w:pPr>
        <w:spacing w:after="120" w:line="360" w:lineRule="auto"/>
        <w:rPr>
          <w:rFonts w:hint="eastAsia"/>
        </w:rPr>
      </w:pPr>
      <w:r>
        <w:t>本文以</w:t>
      </w:r>
      <w:r>
        <w:t>2022</w:t>
      </w:r>
      <w:r>
        <w:t>年</w:t>
      </w:r>
      <w:r>
        <w:t>12</w:t>
      </w:r>
      <w:r>
        <w:t>月</w:t>
      </w:r>
      <w:r>
        <w:t>—2023</w:t>
      </w:r>
      <w:r>
        <w:t>年</w:t>
      </w:r>
      <w:r>
        <w:t>6</w:t>
      </w:r>
      <w:r>
        <w:t>月期间南宁市第二人民医院诊断的</w:t>
      </w:r>
      <w:r>
        <w:t>202</w:t>
      </w:r>
      <w:r>
        <w:t>例妊娠期</w:t>
      </w:r>
      <w:r>
        <w:t>COVID-19</w:t>
      </w:r>
      <w:r>
        <w:t>感染单胎孕妇为研究对象，按感染时孕周分为孕早期、孕中期、孕晚期三组，回顾性分析不同孕期感染</w:t>
      </w:r>
      <w:r>
        <w:t>COVID-19</w:t>
      </w:r>
      <w:r>
        <w:t>孕妇的临床特征、用药行为及妊娠结局差异。研究选题具有明确的临床意义，回应了妊娠期</w:t>
      </w:r>
      <w:r>
        <w:t>COVID-19</w:t>
      </w:r>
      <w:r>
        <w:t>感染分孕期管理的现实需求，尤其聚焦于奥密克戌变异株流行期间这一具体时间窗口，具有一定时效性和地区代表性。</w:t>
      </w:r>
    </w:p>
    <w:p w14:paraId="7C57A463" w14:textId="77777777" w:rsidR="008836A7" w:rsidRDefault="00D62321">
      <w:pPr>
        <w:spacing w:after="120" w:line="360" w:lineRule="auto"/>
        <w:rPr>
          <w:rFonts w:hint="eastAsia"/>
        </w:rPr>
      </w:pPr>
      <w:r>
        <w:t>文章整体结构完整，包含中英文摘要、引言、资料与方法、结果、讨论和参考文献等标准论著要素。研究方法较为严谨，采用多种统计方法（</w:t>
      </w:r>
      <w:r>
        <w:t>Kruskal-Wallis H</w:t>
      </w:r>
      <w:r>
        <w:t>检验、</w:t>
      </w:r>
      <w:r>
        <w:t>χ²</w:t>
      </w:r>
      <w:r>
        <w:t>检验、</w:t>
      </w:r>
      <w:r>
        <w:t>Fisher</w:t>
      </w:r>
      <w:r>
        <w:t>确切概率法、</w:t>
      </w:r>
      <w:r>
        <w:t>Mantel-Haenszel</w:t>
      </w:r>
      <w:r>
        <w:t>趋势检验）进行数据分析，结果呈现较为详尽。特别值得肯定的是，本文将感染组与同期</w:t>
      </w:r>
      <w:r>
        <w:t>2650</w:t>
      </w:r>
      <w:r>
        <w:t>例非感染孕妇进行了早产率对比，增强了研究的参照价值。</w:t>
      </w:r>
    </w:p>
    <w:p w14:paraId="494A570F" w14:textId="77777777" w:rsidR="008836A7" w:rsidRDefault="00D62321">
      <w:pPr>
        <w:pStyle w:val="2"/>
        <w:rPr>
          <w:rFonts w:hint="eastAsia"/>
        </w:rPr>
      </w:pPr>
      <w:r>
        <w:t xml:space="preserve">2.2 </w:t>
      </w:r>
      <w:r>
        <w:t>审稿结论</w:t>
      </w:r>
    </w:p>
    <w:p w14:paraId="43FAC645" w14:textId="77777777" w:rsidR="008836A7" w:rsidRDefault="00D62321">
      <w:pPr>
        <w:spacing w:before="200" w:after="200"/>
        <w:rPr>
          <w:rFonts w:hint="eastAsia"/>
        </w:rPr>
      </w:pPr>
      <w:r>
        <w:rPr>
          <w:b/>
          <w:bCs/>
        </w:rPr>
        <w:t>审稿结论：</w:t>
      </w:r>
      <w:r>
        <w:rPr>
          <w:b/>
          <w:bCs/>
          <w:color w:val="009900"/>
          <w:sz w:val="26"/>
          <w:szCs w:val="26"/>
        </w:rPr>
        <w:t>小修后录用（</w:t>
      </w:r>
      <w:r>
        <w:rPr>
          <w:b/>
          <w:bCs/>
          <w:color w:val="009900"/>
          <w:sz w:val="26"/>
          <w:szCs w:val="26"/>
        </w:rPr>
        <w:t>Minor Revision</w:t>
      </w:r>
      <w:r>
        <w:rPr>
          <w:b/>
          <w:bCs/>
          <w:color w:val="009900"/>
          <w:sz w:val="26"/>
          <w:szCs w:val="26"/>
        </w:rPr>
        <w:t>）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400"/>
        <w:gridCol w:w="4126"/>
      </w:tblGrid>
      <w:tr w:rsidR="008836A7" w14:paraId="53952DAC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52D85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评审维度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0002BD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评分</w:t>
            </w:r>
            <w:r>
              <w:rPr>
                <w:b/>
                <w:bCs/>
                <w:color w:val="FFFFFF"/>
                <w:sz w:val="21"/>
                <w:szCs w:val="21"/>
              </w:rPr>
              <w:t>(1-10)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75C1B6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简要说明</w:t>
            </w:r>
          </w:p>
        </w:tc>
      </w:tr>
      <w:tr w:rsidR="008836A7" w14:paraId="31A6067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5EF10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选题新颖性与价值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0E88C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D5EB06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分孕期分析视角具有临床意义，回应现实需求</w:t>
            </w:r>
          </w:p>
        </w:tc>
      </w:tr>
      <w:tr w:rsidR="008836A7" w14:paraId="5C7AB3BF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51FEE8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lastRenderedPageBreak/>
              <w:t>研究设计科学性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ACECA9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FFFC31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回顾性研究，但纳入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排除标准清晰</w:t>
            </w:r>
          </w:p>
        </w:tc>
      </w:tr>
      <w:tr w:rsidR="008836A7" w14:paraId="7E6710E1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4E9F52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方法学严谨性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42ED12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8DB50A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统计方法多样且得当，纳入排除标准严格</w:t>
            </w:r>
          </w:p>
        </w:tc>
      </w:tr>
      <w:tr w:rsidR="008836A7" w14:paraId="3DE8BF09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FF762F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数据分析规范性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5B906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7EDC0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统计方法正确，但表格数据存在缺失和错误</w:t>
            </w:r>
          </w:p>
        </w:tc>
      </w:tr>
      <w:tr w:rsidR="008836A7" w14:paraId="0E001CD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57F68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讨论深度与逻辑性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258907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06BFFD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讨论较为充分，但部分段落结构重复</w:t>
            </w:r>
          </w:p>
        </w:tc>
      </w:tr>
      <w:tr w:rsidR="008836A7" w14:paraId="6B1C24B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5FF67E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文献引用规范性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0200F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AA295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引用较为规范，但存在重复引用和格式不统一</w:t>
            </w:r>
          </w:p>
        </w:tc>
      </w:tr>
      <w:tr w:rsidR="008836A7" w14:paraId="77415FF4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A552E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写作与表达质量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629C8D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1CBB11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语言流畅，但存在部分表达问题和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痕迹</w:t>
            </w:r>
          </w:p>
        </w:tc>
      </w:tr>
      <w:tr w:rsidR="008836A7" w14:paraId="101A26D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0AF93F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与期刊契合度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8A50E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0C248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妊娠与</w:t>
            </w:r>
            <w:r>
              <w:rPr>
                <w:sz w:val="21"/>
                <w:szCs w:val="21"/>
              </w:rPr>
              <w:t>COVID-19</w:t>
            </w:r>
            <w:r>
              <w:rPr>
                <w:sz w:val="21"/>
                <w:szCs w:val="21"/>
              </w:rPr>
              <w:t>主题符合期刊临床医学范畴</w:t>
            </w:r>
          </w:p>
        </w:tc>
      </w:tr>
      <w:tr w:rsidR="008836A7" w14:paraId="7D3BAA9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0F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0C20C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综合评分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0F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12C2F" w14:textId="77777777" w:rsidR="008836A7" w:rsidRDefault="00D62321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7.4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0F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790182" w14:textId="77777777" w:rsidR="008836A7" w:rsidRDefault="00D62321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建议小修后录用</w:t>
            </w:r>
          </w:p>
        </w:tc>
      </w:tr>
    </w:tbl>
    <w:p w14:paraId="750B94C7" w14:textId="77777777" w:rsidR="008836A7" w:rsidRDefault="008836A7">
      <w:pPr>
        <w:spacing w:before="400"/>
        <w:rPr>
          <w:rFonts w:hint="eastAsia"/>
        </w:rPr>
      </w:pPr>
    </w:p>
    <w:p w14:paraId="58578C4E" w14:textId="77777777" w:rsidR="008836A7" w:rsidRDefault="00D62321">
      <w:pPr>
        <w:pStyle w:val="1"/>
        <w:spacing w:before="400"/>
        <w:rPr>
          <w:rFonts w:hint="eastAsia"/>
        </w:rPr>
      </w:pPr>
      <w:r>
        <w:t>三、详细评审意见</w:t>
      </w:r>
    </w:p>
    <w:p w14:paraId="31AE6979" w14:textId="77777777" w:rsidR="008836A7" w:rsidRDefault="00D62321">
      <w:pPr>
        <w:pStyle w:val="2"/>
        <w:rPr>
          <w:rFonts w:hint="eastAsia"/>
        </w:rPr>
      </w:pPr>
      <w:r>
        <w:t xml:space="preserve">3.1 </w:t>
      </w:r>
      <w:r>
        <w:t>优点与亮点</w:t>
      </w:r>
    </w:p>
    <w:p w14:paraId="0B111855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选题具有临床价值且时效性强：</w:t>
      </w:r>
      <w:r>
        <w:t>聚焦于奥密克戌变异株流行期间（</w:t>
      </w:r>
      <w:r>
        <w:t>2022</w:t>
      </w:r>
      <w:r>
        <w:t>年</w:t>
      </w:r>
      <w:r>
        <w:t>12</w:t>
      </w:r>
      <w:r>
        <w:t>月</w:t>
      </w:r>
      <w:r>
        <w:t>-2023</w:t>
      </w:r>
      <w:r>
        <w:t>年</w:t>
      </w:r>
      <w:r>
        <w:t>6</w:t>
      </w:r>
      <w:r>
        <w:t>月）的妊娠期感染，时间窗口明确，且按孕早、中、晚期进行分层分析，这种分孕期的研究视角在已有文献中确实较为罕见，回应了临床实际需求。</w:t>
      </w:r>
    </w:p>
    <w:p w14:paraId="29DF3266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纳入</w:t>
      </w:r>
      <w:r>
        <w:rPr>
          <w:b/>
          <w:bCs/>
        </w:rPr>
        <w:t>/</w:t>
      </w:r>
      <w:r>
        <w:rPr>
          <w:b/>
          <w:bCs/>
        </w:rPr>
        <w:t>排除标准严谨：</w:t>
      </w:r>
      <w:r>
        <w:t>明确列出</w:t>
      </w:r>
      <w:r>
        <w:t>4</w:t>
      </w:r>
      <w:r>
        <w:t>条纳入标准和</w:t>
      </w:r>
      <w:r>
        <w:t>6</w:t>
      </w:r>
      <w:r>
        <w:t>条排除标准，包括排除染色体异常、不良孕产史、多胎妊娠、基础疾病及其他呼吸道感染等潜在混杂因素，有效控制了选择偏倚。</w:t>
      </w:r>
    </w:p>
    <w:p w14:paraId="729D2B66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统计方法得当：</w:t>
      </w:r>
      <w:r>
        <w:t>根据数据类型灵活选用了</w:t>
      </w:r>
      <w:r>
        <w:t>Kruskal-Wallis H</w:t>
      </w:r>
      <w:r>
        <w:t>检验、</w:t>
      </w:r>
      <w:r>
        <w:t>χ²</w:t>
      </w:r>
      <w:r>
        <w:t>检验、</w:t>
      </w:r>
      <w:r>
        <w:t>Fisher</w:t>
      </w:r>
      <w:r>
        <w:t>确切概率法、</w:t>
      </w:r>
      <w:r>
        <w:t>Mantel-Haenszel</w:t>
      </w:r>
      <w:r>
        <w:t>趋势检验等多种统计方法，方法选择与数据特征匹配。</w:t>
      </w:r>
    </w:p>
    <w:p w14:paraId="1296D8AD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参照组设计合理：</w:t>
      </w:r>
      <w:r>
        <w:t>将感染组早产率与同期</w:t>
      </w:r>
      <w:r>
        <w:t>2650</w:t>
      </w:r>
      <w:r>
        <w:t>例非感染单胎孕妇进行对比，并报告了率差、</w:t>
      </w:r>
      <w:r>
        <w:t>95%CI</w:t>
      </w:r>
      <w:r>
        <w:t>及</w:t>
      </w:r>
      <w:r>
        <w:t>OR</w:t>
      </w:r>
      <w:r>
        <w:t>值，增强了结果的说服力。</w:t>
      </w:r>
    </w:p>
    <w:p w14:paraId="400318A0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讨论有深度：</w:t>
      </w:r>
      <w:r>
        <w:t>对发热程度差异从妊娠期免疫应答的阶段性特征（</w:t>
      </w:r>
      <w:r>
        <w:t>Th1/Th2</w:t>
      </w:r>
      <w:r>
        <w:t>偏移）进行了机制层面的解释，层次较深；对咳嗽差异从孕期生理解剖变化角度进行分析，论证较为充分。</w:t>
      </w:r>
    </w:p>
    <w:p w14:paraId="51D4794E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基金课题支撑：</w:t>
      </w:r>
      <w:r>
        <w:t>已标注广西壮族自治区中医药管理局自筹经费科研课题，符合期刊对论著类文章的偏好。</w:t>
      </w:r>
    </w:p>
    <w:p w14:paraId="5F3E949A" w14:textId="77777777" w:rsidR="008836A7" w:rsidRDefault="00D62321">
      <w:pPr>
        <w:pStyle w:val="2"/>
        <w:spacing w:before="300"/>
        <w:rPr>
          <w:rFonts w:hint="eastAsia"/>
        </w:rPr>
      </w:pPr>
      <w:r>
        <w:t xml:space="preserve">3.2 </w:t>
      </w:r>
      <w:r>
        <w:t>主要问题与不足</w:t>
      </w:r>
    </w:p>
    <w:p w14:paraId="7ED7CE07" w14:textId="77777777" w:rsidR="008836A7" w:rsidRDefault="00D62321">
      <w:pPr>
        <w:pStyle w:val="3"/>
        <w:spacing w:before="200"/>
        <w:rPr>
          <w:rFonts w:hint="eastAsia"/>
        </w:rPr>
      </w:pPr>
      <w:r>
        <w:t xml:space="preserve">3.2.1 </w:t>
      </w:r>
      <w:r>
        <w:t>研究设计与方法学问题</w:t>
      </w:r>
    </w:p>
    <w:p w14:paraId="3807ECF0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lastRenderedPageBreak/>
        <w:t>缺乏英文摘要：</w:t>
      </w:r>
      <w:r>
        <w:t>作为《环球医学进展》的论著，参考期刊已发表论文的格式，应包含英文摘要。本文缺少英文摘要，需补充。</w:t>
      </w:r>
    </w:p>
    <w:p w14:paraId="2319798C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回顾性研究的固有局限：</w:t>
      </w:r>
      <w:r>
        <w:t>作者已在讨论中承认，但未对回顾性数据收集可能导致的信息偏倚进行具体讨论（如病例记录完整性、症状回忆偏倚等）。</w:t>
      </w:r>
    </w:p>
    <w:p w14:paraId="2358B8D7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孕晚期组样本量过小：</w:t>
      </w:r>
      <w:r>
        <w:t>仅</w:t>
      </w:r>
      <w:r>
        <w:t>22</w:t>
      </w:r>
      <w:r>
        <w:t>例，仅占总样本的</w:t>
      </w:r>
      <w:r>
        <w:t>10.89%</w:t>
      </w:r>
      <w:r>
        <w:t>，多个统计检验在该组的结论缺乏统计学效能保障。作者已在局限性中承认，但未对这一问题进行效应量分析或功效分析。</w:t>
      </w:r>
    </w:p>
    <w:p w14:paraId="1DB7E6CD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仅进行单因素分析：</w:t>
      </w:r>
      <w:r>
        <w:t>作者已承认未纳入年龄、基础疾病、感染严重程度等混杂因素进行多因素回归校正。虽然作为回顾性研究这是可接受的，但这一局限应在摘要中明确提及。</w:t>
      </w:r>
    </w:p>
    <w:p w14:paraId="331E0005" w14:textId="77777777" w:rsidR="008836A7" w:rsidRDefault="00D62321">
      <w:pPr>
        <w:pStyle w:val="3"/>
        <w:spacing w:before="200"/>
        <w:rPr>
          <w:rFonts w:hint="eastAsia"/>
        </w:rPr>
      </w:pPr>
      <w:r>
        <w:t xml:space="preserve">3.2.2 </w:t>
      </w:r>
      <w:r>
        <w:t>数据与表格问题</w:t>
      </w:r>
    </w:p>
    <w:p w14:paraId="20F3867A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表格数据存在缺失和错误：</w:t>
      </w:r>
      <w:r>
        <w:t>表</w:t>
      </w:r>
      <w:r>
        <w:t>2</w:t>
      </w:r>
      <w:r>
        <w:t>中咳嗽的</w:t>
      </w:r>
      <w:r>
        <w:t>χ²</w:t>
      </w:r>
      <w:r>
        <w:t>值为</w:t>
      </w:r>
      <w:r>
        <w:t>7.124</w:t>
      </w:r>
      <w:r>
        <w:t>但正文中写为</w:t>
      </w:r>
      <w:r>
        <w:t>7.542</w:t>
      </w:r>
      <w:r>
        <w:t>，且表中</w:t>
      </w:r>
      <w:r>
        <w:t>χ²</w:t>
      </w:r>
      <w:r>
        <w:t>和</w:t>
      </w:r>
      <w:r>
        <w:t>P</w:t>
      </w:r>
      <w:r>
        <w:t>值列均缺失具体数值；表</w:t>
      </w:r>
      <w:r>
        <w:t>1</w:t>
      </w:r>
      <w:r>
        <w:t>中三组合计发热人数与正文描述的</w:t>
      </w:r>
      <w:r>
        <w:t>“161</w:t>
      </w:r>
      <w:r>
        <w:t>例发热</w:t>
      </w:r>
      <w:r>
        <w:t>”</w:t>
      </w:r>
      <w:r>
        <w:t>不一致（表格显示</w:t>
      </w:r>
      <w:r>
        <w:t>161</w:t>
      </w:r>
      <w:r>
        <w:t>例</w:t>
      </w:r>
      <w:r>
        <w:t>=49+70+42</w:t>
      </w:r>
      <w:r>
        <w:t>，但正文另处写</w:t>
      </w:r>
      <w:r>
        <w:t>“</w:t>
      </w:r>
      <w:r>
        <w:t>发热发生率</w:t>
      </w:r>
      <w:r>
        <w:t>79.70%”=161/202</w:t>
      </w:r>
      <w:r>
        <w:t>，而表中</w:t>
      </w:r>
      <w:r>
        <w:t>“</w:t>
      </w:r>
      <w:r>
        <w:t>无发热</w:t>
      </w:r>
      <w:r>
        <w:t>”</w:t>
      </w:r>
      <w:r>
        <w:t>合计为</w:t>
      </w:r>
      <w:r>
        <w:t>41</w:t>
      </w:r>
      <w:r>
        <w:t>例</w:t>
      </w:r>
      <w:r>
        <w:t>=202-161</w:t>
      </w:r>
      <w:r>
        <w:t>，此处一致，但</w:t>
      </w:r>
      <w:r>
        <w:t>“</w:t>
      </w:r>
      <w:r>
        <w:t>发热发生玂</w:t>
      </w:r>
      <w:r>
        <w:t>”</w:t>
      </w:r>
      <w:r>
        <w:t>正文中写的是</w:t>
      </w:r>
      <w:r>
        <w:t>82.18%</w:t>
      </w:r>
      <w:r>
        <w:t>，而非</w:t>
      </w:r>
      <w:r>
        <w:t>79.70%</w:t>
      </w:r>
      <w:r>
        <w:t>，存在矛盾）。请作者仔细核实所有表格数据。</w:t>
      </w:r>
    </w:p>
    <w:p w14:paraId="397AB4D0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表</w:t>
      </w:r>
      <w:r>
        <w:rPr>
          <w:b/>
          <w:bCs/>
        </w:rPr>
        <w:t>3</w:t>
      </w:r>
      <w:r>
        <w:rPr>
          <w:b/>
          <w:bCs/>
        </w:rPr>
        <w:t>、表</w:t>
      </w:r>
      <w:r>
        <w:rPr>
          <w:b/>
          <w:bCs/>
        </w:rPr>
        <w:t>4</w:t>
      </w:r>
      <w:r>
        <w:rPr>
          <w:b/>
          <w:bCs/>
        </w:rPr>
        <w:t>、表</w:t>
      </w:r>
      <w:r>
        <w:rPr>
          <w:b/>
          <w:bCs/>
        </w:rPr>
        <w:t>5</w:t>
      </w:r>
      <w:r>
        <w:rPr>
          <w:b/>
          <w:bCs/>
        </w:rPr>
        <w:t>内容不完整：</w:t>
      </w:r>
      <w:r>
        <w:t>表</w:t>
      </w:r>
      <w:r>
        <w:t>3</w:t>
      </w:r>
      <w:r>
        <w:t>、表</w:t>
      </w:r>
      <w:r>
        <w:t>4</w:t>
      </w:r>
      <w:r>
        <w:t>、表</w:t>
      </w:r>
      <w:r>
        <w:t>5</w:t>
      </w:r>
      <w:r>
        <w:t>的具体数据在提取时严重丢失，可能是原文档中表格格式问题导致。表</w:t>
      </w:r>
      <w:r>
        <w:t>5</w:t>
      </w:r>
      <w:r>
        <w:t>与表</w:t>
      </w:r>
      <w:r>
        <w:t>4</w:t>
      </w:r>
      <w:r>
        <w:t>的内容完全重复（均为</w:t>
      </w:r>
      <w:r>
        <w:t>“</w:t>
      </w:r>
      <w:r>
        <w:t>感染组与非感染组早产率比较</w:t>
      </w:r>
      <w:r>
        <w:t>”</w:t>
      </w:r>
      <w:r>
        <w:t>），疑似排版错误。请重新检查并修正所有表格。</w:t>
      </w:r>
    </w:p>
    <w:p w14:paraId="337755C5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观察指标中的</w:t>
      </w:r>
      <w:r>
        <w:rPr>
          <w:b/>
          <w:bCs/>
        </w:rPr>
        <w:t>“</w:t>
      </w:r>
      <w:r>
        <w:rPr>
          <w:b/>
          <w:bCs/>
        </w:rPr>
        <w:t>新生儿出生体重，</w:t>
      </w:r>
      <w:r>
        <w:rPr>
          <w:b/>
          <w:bCs/>
        </w:rPr>
        <w:t>apgar</w:t>
      </w:r>
      <w:r>
        <w:rPr>
          <w:b/>
          <w:bCs/>
        </w:rPr>
        <w:t>评分</w:t>
      </w:r>
      <w:r>
        <w:rPr>
          <w:b/>
          <w:bCs/>
        </w:rPr>
        <w:t>”</w:t>
      </w:r>
      <w:r>
        <w:rPr>
          <w:b/>
          <w:bCs/>
        </w:rPr>
        <w:t>未在结果中呈现：</w:t>
      </w:r>
      <w:r>
        <w:t>方法学中列举了这两项观察指标，但结果部分未见报道，应补充或说明原因。</w:t>
      </w:r>
    </w:p>
    <w:p w14:paraId="042247FA" w14:textId="77777777" w:rsidR="008836A7" w:rsidRDefault="00D62321">
      <w:pPr>
        <w:pStyle w:val="3"/>
        <w:spacing w:before="200"/>
        <w:rPr>
          <w:rFonts w:hint="eastAsia"/>
        </w:rPr>
      </w:pPr>
      <w:r>
        <w:t xml:space="preserve">3.2.3 </w:t>
      </w:r>
      <w:r>
        <w:t>写作与格式问题</w:t>
      </w:r>
    </w:p>
    <w:p w14:paraId="322FFA64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参考文献存在重复引用：</w:t>
      </w:r>
      <w:r>
        <w:t>参考文献</w:t>
      </w:r>
      <w:r>
        <w:t>[4]</w:t>
      </w:r>
      <w:r>
        <w:t>和</w:t>
      </w:r>
      <w:r>
        <w:t>[8]</w:t>
      </w:r>
      <w:r>
        <w:t>均为</w:t>
      </w:r>
      <w:r>
        <w:t>Smith ER et al. (2023) BMJ Global Health</w:t>
      </w:r>
      <w:r>
        <w:t>的同一篇文章，属于重复引用，应合并。</w:t>
      </w:r>
    </w:p>
    <w:p w14:paraId="75A5AD7C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参考文献格式不统一：</w:t>
      </w:r>
      <w:r>
        <w:t>部分文献使用</w:t>
      </w:r>
      <w:r>
        <w:t>“[J]”</w:t>
      </w:r>
      <w:r>
        <w:t>标识，部分未加；部分使用</w:t>
      </w:r>
      <w:r>
        <w:t>“[J]”</w:t>
      </w:r>
      <w:r>
        <w:t>，部分使用</w:t>
      </w:r>
      <w:r>
        <w:t>“[J].”</w:t>
      </w:r>
      <w:r>
        <w:t>；部分中文文献为</w:t>
      </w:r>
      <w:r>
        <w:t>GB/T 7714</w:t>
      </w:r>
      <w:r>
        <w:t>格式，部分英文文献为其他格式，应统一。</w:t>
      </w:r>
    </w:p>
    <w:p w14:paraId="6FFD621C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正文中引用标注不规范：</w:t>
      </w:r>
      <w:r>
        <w:t>部分引用使用上标格式</w:t>
      </w:r>
      <w:r>
        <w:t>“[9,10]”</w:t>
      </w:r>
      <w:r>
        <w:t>，部分使用</w:t>
      </w:r>
      <w:r>
        <w:t>“[11,12]”</w:t>
      </w:r>
      <w:r>
        <w:t>，但在参考文献列表中部分文献编号不连续，应确保引用与参考文献一一对应。</w:t>
      </w:r>
    </w:p>
    <w:p w14:paraId="66A9B3F2" w14:textId="77777777" w:rsidR="008836A7" w:rsidRDefault="00D62321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部分结果描述与表格不一致：</w:t>
      </w:r>
      <w:r>
        <w:t>如正文写</w:t>
      </w:r>
      <w:r>
        <w:t>“</w:t>
      </w:r>
      <w:r>
        <w:t>咳嗽发生率以孕中晚期组更高（</w:t>
      </w:r>
      <w:r>
        <w:t>χ²=7.542</w:t>
      </w:r>
      <w:r>
        <w:t>，</w:t>
      </w:r>
      <w:r>
        <w:t>P=0.023</w:t>
      </w:r>
      <w:r>
        <w:t>）</w:t>
      </w:r>
      <w:r>
        <w:t>”</w:t>
      </w:r>
      <w:r>
        <w:t>，但表</w:t>
      </w:r>
      <w:r>
        <w:t>2</w:t>
      </w:r>
      <w:r>
        <w:t>中</w:t>
      </w:r>
      <w:r>
        <w:t>χ²=7.124</w:t>
      </w:r>
      <w:r>
        <w:t>，</w:t>
      </w:r>
      <w:r>
        <w:t>P=0.028</w:t>
      </w:r>
      <w:r>
        <w:t>，存在矛盾。</w:t>
      </w:r>
    </w:p>
    <w:p w14:paraId="61711C09" w14:textId="635DFDBA" w:rsidR="008836A7" w:rsidRDefault="00D62321">
      <w:pPr>
        <w:rPr>
          <w:rFonts w:hint="eastAsia"/>
        </w:rPr>
      </w:pPr>
      <w:r>
        <w:br w:type="page"/>
      </w:r>
    </w:p>
    <w:p w14:paraId="4B4D7B5B" w14:textId="5EC0C391" w:rsidR="008836A7" w:rsidRDefault="001D6D76">
      <w:pPr>
        <w:pStyle w:val="1"/>
        <w:rPr>
          <w:rFonts w:hint="eastAsia"/>
        </w:rPr>
      </w:pPr>
      <w:r>
        <w:rPr>
          <w:rFonts w:hint="eastAsia"/>
        </w:rPr>
        <w:lastRenderedPageBreak/>
        <w:t>四</w:t>
      </w:r>
      <w:r w:rsidR="00D62321">
        <w:t>、具体修改建议</w:t>
      </w:r>
    </w:p>
    <w:p w14:paraId="76823616" w14:textId="1F0B3363" w:rsidR="008836A7" w:rsidRDefault="001D6D76">
      <w:pPr>
        <w:pStyle w:val="2"/>
        <w:rPr>
          <w:rFonts w:hint="eastAsia"/>
        </w:rPr>
      </w:pPr>
      <w:r>
        <w:rPr>
          <w:rFonts w:hint="eastAsia"/>
        </w:rPr>
        <w:t>4</w:t>
      </w:r>
      <w:r w:rsidR="00D62321">
        <w:t xml:space="preserve">.1 </w:t>
      </w:r>
      <w:r w:rsidR="00D62321">
        <w:t>必须修改（</w:t>
      </w:r>
      <w:r w:rsidR="00D62321">
        <w:t>Major Issues</w:t>
      </w:r>
      <w:r w:rsidR="00D62321">
        <w:t>）</w:t>
      </w:r>
    </w:p>
    <w:p w14:paraId="7C61D6A3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补充英文摘要：</w:t>
      </w:r>
      <w:r>
        <w:t>参照期刊已发表论文的格式，补充结构式英文摘要（包含</w:t>
      </w:r>
      <w:r>
        <w:t>Objective, Methods, Results, Conclusion</w:t>
      </w:r>
      <w:r>
        <w:t>）及英文关键词。</w:t>
      </w:r>
    </w:p>
    <w:p w14:paraId="507413BD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核实并修正表格数据：</w:t>
      </w:r>
      <w:r>
        <w:t>重点检查：</w:t>
      </w:r>
      <w:r>
        <w:t>(a)</w:t>
      </w:r>
      <w:r>
        <w:t>表</w:t>
      </w:r>
      <w:r>
        <w:t>1</w:t>
      </w:r>
      <w:r>
        <w:t>中发热发生率与正文是否一致</w:t>
      </w:r>
      <w:r>
        <w:t>(79.70% vs 82.18%)</w:t>
      </w:r>
      <w:r>
        <w:t>；</w:t>
      </w:r>
      <w:r>
        <w:t>(b)</w:t>
      </w:r>
      <w:r>
        <w:t>表</w:t>
      </w:r>
      <w:r>
        <w:t>2</w:t>
      </w:r>
      <w:r>
        <w:t>中咳嗽</w:t>
      </w:r>
      <w:r>
        <w:t>χ²</w:t>
      </w:r>
      <w:r>
        <w:t>值与正文是否一致</w:t>
      </w:r>
      <w:r>
        <w:t>(7.124 vs 7.542)</w:t>
      </w:r>
      <w:r>
        <w:t>；</w:t>
      </w:r>
      <w:r>
        <w:t>(c)</w:t>
      </w:r>
      <w:r>
        <w:t>表</w:t>
      </w:r>
      <w:r>
        <w:t>3/4/5</w:t>
      </w:r>
      <w:r>
        <w:t>数据完整性；</w:t>
      </w:r>
      <w:r>
        <w:t>(d)</w:t>
      </w:r>
      <w:r>
        <w:t>确认表</w:t>
      </w:r>
      <w:r>
        <w:t>5</w:t>
      </w:r>
      <w:r>
        <w:t>是否与表</w:t>
      </w:r>
      <w:r>
        <w:t>4</w:t>
      </w:r>
      <w:r>
        <w:t>重复。</w:t>
      </w:r>
    </w:p>
    <w:p w14:paraId="1026227D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合并重复参考文献：</w:t>
      </w:r>
      <w:r>
        <w:t>参考文献</w:t>
      </w:r>
      <w:r>
        <w:t>[4]</w:t>
      </w:r>
      <w:r>
        <w:t>和</w:t>
      </w:r>
      <w:r>
        <w:t>[8]</w:t>
      </w:r>
      <w:r>
        <w:t>为同一篇文章，应合并并重新编号。同时确保正文中的引用标注与参考文献列表一一对应。</w:t>
      </w:r>
    </w:p>
    <w:p w14:paraId="2205CD4F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统一参考文献格式：</w:t>
      </w:r>
      <w:r>
        <w:t>建议全文统一采用</w:t>
      </w:r>
      <w:r>
        <w:t>GB/T 7714</w:t>
      </w:r>
      <w:r>
        <w:t>格式，中英文文献均按该标准排版。</w:t>
      </w:r>
    </w:p>
    <w:p w14:paraId="53A21681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补充缺失的结果数据：</w:t>
      </w:r>
      <w:r>
        <w:t>新生儿出生体重和</w:t>
      </w:r>
      <w:r>
        <w:t>Apgar</w:t>
      </w:r>
      <w:r>
        <w:t>评分作为方法学中列出的观察指标，应在结果中呈现，或说明未报告的原因。</w:t>
      </w:r>
    </w:p>
    <w:p w14:paraId="0C4645A8" w14:textId="3E45156F" w:rsidR="008836A7" w:rsidRDefault="001D6D76">
      <w:pPr>
        <w:pStyle w:val="2"/>
        <w:spacing w:before="300"/>
        <w:rPr>
          <w:rFonts w:hint="eastAsia"/>
        </w:rPr>
      </w:pPr>
      <w:r>
        <w:rPr>
          <w:rFonts w:hint="eastAsia"/>
        </w:rPr>
        <w:t>4</w:t>
      </w:r>
      <w:r w:rsidR="00D62321">
        <w:t xml:space="preserve">.2 </w:t>
      </w:r>
      <w:r w:rsidR="00D62321">
        <w:t>建议修改（</w:t>
      </w:r>
      <w:r w:rsidR="00D62321">
        <w:t>Minor Issues</w:t>
      </w:r>
      <w:r w:rsidR="00D62321">
        <w:t>）</w:t>
      </w:r>
    </w:p>
    <w:p w14:paraId="17D247CC" w14:textId="2ED0B863" w:rsidR="008836A7" w:rsidRDefault="00D62321" w:rsidP="001D6D76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补充通讯作者电子邮箱：</w:t>
      </w:r>
      <w:r>
        <w:t>已标注通讯作者为黄爱萍，但未提供电子邮箱，应补充。</w:t>
      </w:r>
    </w:p>
    <w:p w14:paraId="79190EC9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增</w:t>
      </w:r>
      <w:r>
        <w:rPr>
          <w:b/>
          <w:bCs/>
        </w:rPr>
        <w:t>加研究设计流程图：</w:t>
      </w:r>
      <w:r>
        <w:t>建议增加研究对象筛选流程图，提升论文的可读性和方法学透明度。</w:t>
      </w:r>
    </w:p>
    <w:p w14:paraId="51591F44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完善讨论结构多样性：</w:t>
      </w:r>
      <w:r>
        <w:t>部分讨论段落存在</w:t>
      </w:r>
      <w:r>
        <w:t>“</w:t>
      </w:r>
      <w:r>
        <w:t>本研究显示</w:t>
      </w:r>
      <w:r>
        <w:t>...</w:t>
      </w:r>
      <w:r>
        <w:t>提示</w:t>
      </w:r>
      <w:r>
        <w:t>...”</w:t>
      </w:r>
      <w:r>
        <w:t>的重复模式，建议适当调整段落结构，增加与国际同类研究的对比分析。</w:t>
      </w:r>
    </w:p>
    <w:p w14:paraId="6311636B" w14:textId="77777777" w:rsidR="008836A7" w:rsidRDefault="00D62321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补充效应量分析或功效分析：</w:t>
      </w:r>
      <w:r>
        <w:t>鉴于孕晚期组仅</w:t>
      </w:r>
      <w:r>
        <w:t>22</w:t>
      </w:r>
      <w:r>
        <w:t>例，建议补充效应量分析（</w:t>
      </w:r>
      <w:r>
        <w:t>post-hoc power analysis</w:t>
      </w:r>
      <w:r>
        <w:t>），明确当前样本量能检出多大的组间差异。</w:t>
      </w:r>
    </w:p>
    <w:p w14:paraId="4DB29A54" w14:textId="77777777" w:rsidR="008836A7" w:rsidRDefault="008836A7">
      <w:pPr>
        <w:spacing w:before="400"/>
        <w:rPr>
          <w:rFonts w:hint="eastAsia"/>
        </w:rPr>
      </w:pPr>
    </w:p>
    <w:p w14:paraId="57D7680C" w14:textId="51DCCA7C" w:rsidR="008836A7" w:rsidRDefault="001D6D76">
      <w:pPr>
        <w:pStyle w:val="1"/>
        <w:rPr>
          <w:rFonts w:hint="eastAsia"/>
        </w:rPr>
      </w:pPr>
      <w:r>
        <w:rPr>
          <w:rFonts w:hint="eastAsia"/>
        </w:rPr>
        <w:t>六</w:t>
      </w:r>
      <w:r w:rsidR="00D62321">
        <w:t>、总结与建议</w:t>
      </w:r>
    </w:p>
    <w:p w14:paraId="375A6504" w14:textId="2E4C4548" w:rsidR="008836A7" w:rsidRDefault="00D62321">
      <w:pPr>
        <w:spacing w:after="120" w:line="360" w:lineRule="auto"/>
        <w:rPr>
          <w:rFonts w:hint="eastAsia"/>
        </w:rPr>
      </w:pPr>
      <w:r>
        <w:t>本文是一篇质量较好的妊娠期</w:t>
      </w:r>
      <w:r>
        <w:t>COVID-19</w:t>
      </w:r>
      <w:r>
        <w:t>临床研究论著，具有明确的临床价值和较高的方法学质量。</w:t>
      </w:r>
      <w:r>
        <w:t>主要问题集中在表格数据核实、重复引用合并、参考文献格式统一、补充英文摘要等技术性问题，不涉及研究设计或结论的根本性缺陷。</w:t>
      </w:r>
    </w:p>
    <w:p w14:paraId="21E20EDD" w14:textId="77777777" w:rsidR="008836A7" w:rsidRDefault="008836A7">
      <w:pPr>
        <w:spacing w:before="200"/>
        <w:rPr>
          <w:rFonts w:hint="eastAsia"/>
        </w:rPr>
      </w:pPr>
    </w:p>
    <w:p w14:paraId="786107E7" w14:textId="77777777" w:rsidR="008836A7" w:rsidRDefault="00D62321">
      <w:pPr>
        <w:spacing w:after="120"/>
        <w:rPr>
          <w:rFonts w:hint="eastAsia"/>
        </w:rPr>
      </w:pPr>
      <w:r>
        <w:t>如作者能够认真回应以上意见并完成修改，本文有望达到发表水平。建议给予</w:t>
      </w:r>
      <w:r>
        <w:rPr>
          <w:b/>
          <w:bCs/>
          <w:color w:val="009900"/>
        </w:rPr>
        <w:t>小修后录用（</w:t>
      </w:r>
      <w:r>
        <w:rPr>
          <w:b/>
          <w:bCs/>
          <w:color w:val="009900"/>
        </w:rPr>
        <w:t>Minor Revision</w:t>
      </w:r>
      <w:r>
        <w:rPr>
          <w:b/>
          <w:bCs/>
          <w:color w:val="009900"/>
        </w:rPr>
        <w:t>）</w:t>
      </w:r>
      <w:r>
        <w:t>的决定。</w:t>
      </w:r>
    </w:p>
    <w:p w14:paraId="3D791E08" w14:textId="77777777" w:rsidR="008836A7" w:rsidRDefault="008836A7">
      <w:pPr>
        <w:spacing w:before="400"/>
        <w:rPr>
          <w:rFonts w:hint="eastAsia"/>
        </w:rPr>
      </w:pPr>
    </w:p>
    <w:p w14:paraId="15C06145" w14:textId="77777777" w:rsidR="008836A7" w:rsidRDefault="00D62321">
      <w:pPr>
        <w:spacing w:after="60"/>
        <w:jc w:val="right"/>
        <w:rPr>
          <w:rFonts w:hint="eastAsia"/>
        </w:rPr>
      </w:pPr>
      <w:r>
        <w:t>《环球医学进展》编辑部</w:t>
      </w:r>
    </w:p>
    <w:p w14:paraId="10604D17" w14:textId="77777777" w:rsidR="008836A7" w:rsidRDefault="00D62321">
      <w:pPr>
        <w:spacing w:after="60"/>
        <w:jc w:val="right"/>
        <w:rPr>
          <w:rFonts w:hint="eastAsia"/>
        </w:rPr>
      </w:pPr>
      <w:r>
        <w:t>2026</w:t>
      </w:r>
      <w:r>
        <w:t>年</w:t>
      </w:r>
      <w:r>
        <w:t>7</w:t>
      </w:r>
      <w:r>
        <w:t>月</w:t>
      </w:r>
      <w:r>
        <w:t>24</w:t>
      </w:r>
      <w:r>
        <w:t>日</w:t>
      </w:r>
    </w:p>
    <w:sectPr w:rsidR="008836A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C3681"/>
    <w:multiLevelType w:val="hybridMultilevel"/>
    <w:tmpl w:val="63426A8E"/>
    <w:lvl w:ilvl="0" w:tplc="488EC450">
      <w:start w:val="1"/>
      <w:numFmt w:val="decimal"/>
      <w:lvlText w:val="%1."/>
      <w:lvlJc w:val="left"/>
      <w:pPr>
        <w:ind w:left="720" w:hanging="360"/>
      </w:pPr>
    </w:lvl>
    <w:lvl w:ilvl="1" w:tplc="D5ACBB94">
      <w:numFmt w:val="decimal"/>
      <w:lvlText w:val=""/>
      <w:lvlJc w:val="left"/>
    </w:lvl>
    <w:lvl w:ilvl="2" w:tplc="996A135E">
      <w:numFmt w:val="decimal"/>
      <w:lvlText w:val=""/>
      <w:lvlJc w:val="left"/>
    </w:lvl>
    <w:lvl w:ilvl="3" w:tplc="7362F60C">
      <w:numFmt w:val="decimal"/>
      <w:lvlText w:val=""/>
      <w:lvlJc w:val="left"/>
    </w:lvl>
    <w:lvl w:ilvl="4" w:tplc="C1AED23A">
      <w:numFmt w:val="decimal"/>
      <w:lvlText w:val=""/>
      <w:lvlJc w:val="left"/>
    </w:lvl>
    <w:lvl w:ilvl="5" w:tplc="AFBC3606">
      <w:numFmt w:val="decimal"/>
      <w:lvlText w:val=""/>
      <w:lvlJc w:val="left"/>
    </w:lvl>
    <w:lvl w:ilvl="6" w:tplc="0016B0D4">
      <w:numFmt w:val="decimal"/>
      <w:lvlText w:val=""/>
      <w:lvlJc w:val="left"/>
    </w:lvl>
    <w:lvl w:ilvl="7" w:tplc="57EC7C68">
      <w:numFmt w:val="decimal"/>
      <w:lvlText w:val=""/>
      <w:lvlJc w:val="left"/>
    </w:lvl>
    <w:lvl w:ilvl="8" w:tplc="402AF01C">
      <w:numFmt w:val="decimal"/>
      <w:lvlText w:val=""/>
      <w:lvlJc w:val="left"/>
    </w:lvl>
  </w:abstractNum>
  <w:abstractNum w:abstractNumId="1" w15:restartNumberingAfterBreak="0">
    <w:nsid w:val="6C73452C"/>
    <w:multiLevelType w:val="hybridMultilevel"/>
    <w:tmpl w:val="3F2E3742"/>
    <w:lvl w:ilvl="0" w:tplc="69BE0AF4">
      <w:start w:val="1"/>
      <w:numFmt w:val="bullet"/>
      <w:lvlText w:val="●"/>
      <w:lvlJc w:val="left"/>
      <w:pPr>
        <w:ind w:left="720" w:hanging="360"/>
      </w:pPr>
    </w:lvl>
    <w:lvl w:ilvl="1" w:tplc="9A1497F8">
      <w:start w:val="1"/>
      <w:numFmt w:val="bullet"/>
      <w:lvlText w:val="○"/>
      <w:lvlJc w:val="left"/>
      <w:pPr>
        <w:ind w:left="1440" w:hanging="360"/>
      </w:pPr>
    </w:lvl>
    <w:lvl w:ilvl="2" w:tplc="8B50EEC4">
      <w:start w:val="1"/>
      <w:numFmt w:val="bullet"/>
      <w:lvlText w:val="■"/>
      <w:lvlJc w:val="left"/>
      <w:pPr>
        <w:ind w:left="2160" w:hanging="360"/>
      </w:pPr>
    </w:lvl>
    <w:lvl w:ilvl="3" w:tplc="81A4EC1C">
      <w:start w:val="1"/>
      <w:numFmt w:val="bullet"/>
      <w:lvlText w:val="●"/>
      <w:lvlJc w:val="left"/>
      <w:pPr>
        <w:ind w:left="2880" w:hanging="360"/>
      </w:pPr>
    </w:lvl>
    <w:lvl w:ilvl="4" w:tplc="994C8006">
      <w:start w:val="1"/>
      <w:numFmt w:val="bullet"/>
      <w:lvlText w:val="○"/>
      <w:lvlJc w:val="left"/>
      <w:pPr>
        <w:ind w:left="3600" w:hanging="360"/>
      </w:pPr>
    </w:lvl>
    <w:lvl w:ilvl="5" w:tplc="D3ECBD64">
      <w:start w:val="1"/>
      <w:numFmt w:val="bullet"/>
      <w:lvlText w:val="■"/>
      <w:lvlJc w:val="left"/>
      <w:pPr>
        <w:ind w:left="4320" w:hanging="360"/>
      </w:pPr>
    </w:lvl>
    <w:lvl w:ilvl="6" w:tplc="3C445F0C">
      <w:start w:val="1"/>
      <w:numFmt w:val="bullet"/>
      <w:lvlText w:val="●"/>
      <w:lvlJc w:val="left"/>
      <w:pPr>
        <w:ind w:left="5040" w:hanging="360"/>
      </w:pPr>
    </w:lvl>
    <w:lvl w:ilvl="7" w:tplc="C158CC46">
      <w:start w:val="1"/>
      <w:numFmt w:val="bullet"/>
      <w:lvlText w:val="●"/>
      <w:lvlJc w:val="left"/>
      <w:pPr>
        <w:ind w:left="5760" w:hanging="360"/>
      </w:pPr>
    </w:lvl>
    <w:lvl w:ilvl="8" w:tplc="0FBE3C6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1C2664C"/>
    <w:multiLevelType w:val="hybridMultilevel"/>
    <w:tmpl w:val="595C72D2"/>
    <w:lvl w:ilvl="0" w:tplc="8772962A">
      <w:start w:val="1"/>
      <w:numFmt w:val="bullet"/>
      <w:lvlText w:val="•"/>
      <w:lvlJc w:val="left"/>
      <w:pPr>
        <w:ind w:left="720" w:hanging="360"/>
      </w:pPr>
    </w:lvl>
    <w:lvl w:ilvl="1" w:tplc="6B5661D2">
      <w:numFmt w:val="decimal"/>
      <w:lvlText w:val=""/>
      <w:lvlJc w:val="left"/>
    </w:lvl>
    <w:lvl w:ilvl="2" w:tplc="4BF6715C">
      <w:numFmt w:val="decimal"/>
      <w:lvlText w:val=""/>
      <w:lvlJc w:val="left"/>
    </w:lvl>
    <w:lvl w:ilvl="3" w:tplc="3D9CD6A4">
      <w:numFmt w:val="decimal"/>
      <w:lvlText w:val=""/>
      <w:lvlJc w:val="left"/>
    </w:lvl>
    <w:lvl w:ilvl="4" w:tplc="E16A5A64">
      <w:numFmt w:val="decimal"/>
      <w:lvlText w:val=""/>
      <w:lvlJc w:val="left"/>
    </w:lvl>
    <w:lvl w:ilvl="5" w:tplc="385A2E00">
      <w:numFmt w:val="decimal"/>
      <w:lvlText w:val=""/>
      <w:lvlJc w:val="left"/>
    </w:lvl>
    <w:lvl w:ilvl="6" w:tplc="0D0841A0">
      <w:numFmt w:val="decimal"/>
      <w:lvlText w:val=""/>
      <w:lvlJc w:val="left"/>
    </w:lvl>
    <w:lvl w:ilvl="7" w:tplc="0D0024D0">
      <w:numFmt w:val="decimal"/>
      <w:lvlText w:val=""/>
      <w:lvlJc w:val="left"/>
    </w:lvl>
    <w:lvl w:ilvl="8" w:tplc="B73C123E">
      <w:numFmt w:val="decimal"/>
      <w:lvlText w:val=""/>
      <w:lvlJc w:val="left"/>
    </w:lvl>
  </w:abstractNum>
  <w:num w:numId="1" w16cid:durableId="1514495939">
    <w:abstractNumId w:val="1"/>
    <w:lvlOverride w:ilvl="0">
      <w:startOverride w:val="1"/>
    </w:lvlOverride>
  </w:num>
  <w:num w:numId="2" w16cid:durableId="1367679395">
    <w:abstractNumId w:val="0"/>
    <w:lvlOverride w:ilvl="0">
      <w:startOverride w:val="1"/>
    </w:lvlOverride>
  </w:num>
  <w:num w:numId="3" w16cid:durableId="211971533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7"/>
    <w:rsid w:val="001D6D76"/>
    <w:rsid w:val="008530B2"/>
    <w:rsid w:val="0088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F1ED1F"/>
  <w15:docId w15:val="{2FF114BA-4FF5-49FA-B6DC-4E8F3338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宋体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240" w:after="120"/>
      <w:outlineLvl w:val="0"/>
    </w:pPr>
    <w:rPr>
      <w:rFonts w:ascii="黑体" w:eastAsia="黑体" w:hAnsi="黑体" w:cs="黑体"/>
      <w:b/>
      <w:bCs/>
      <w:color w:val="1F3864"/>
      <w:sz w:val="32"/>
      <w:szCs w:val="32"/>
    </w:rPr>
  </w:style>
  <w:style w:type="paragraph" w:styleId="2">
    <w:name w:val="heading 2"/>
    <w:uiPriority w:val="9"/>
    <w:unhideWhenUsed/>
    <w:qFormat/>
    <w:pPr>
      <w:spacing w:before="200" w:after="100"/>
      <w:outlineLvl w:val="1"/>
    </w:pPr>
    <w:rPr>
      <w:rFonts w:ascii="黑体" w:eastAsia="黑体" w:hAnsi="黑体" w:cs="黑体"/>
      <w:b/>
      <w:bCs/>
      <w:sz w:val="28"/>
      <w:szCs w:val="28"/>
    </w:rPr>
  </w:style>
  <w:style w:type="paragraph" w:styleId="3">
    <w:name w:val="heading 3"/>
    <w:uiPriority w:val="9"/>
    <w:unhideWhenUsed/>
    <w:qFormat/>
    <w:pPr>
      <w:spacing w:before="160" w:after="80"/>
      <w:outlineLvl w:val="2"/>
    </w:pPr>
    <w:rPr>
      <w:b/>
      <w:bCs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1601</Words>
  <Characters>1906</Characters>
  <Application>Microsoft Office Word</Application>
  <DocSecurity>0</DocSecurity>
  <Lines>112</Lines>
  <Paragraphs>120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Yanqi Wu</cp:lastModifiedBy>
  <cp:revision>4</cp:revision>
  <dcterms:created xsi:type="dcterms:W3CDTF">2026-07-24T08:54:00Z</dcterms:created>
  <dcterms:modified xsi:type="dcterms:W3CDTF">2026-07-24T09:58:00Z</dcterms:modified>
</cp:coreProperties>
</file>