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EE5D1">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center"/>
        <w:textAlignment w:val="auto"/>
        <w:rPr>
          <w:rFonts w:hint="eastAsia" w:ascii="仿宋" w:hAnsi="仿宋" w:eastAsia="仿宋" w:cs="仿宋"/>
          <w:b/>
          <w:bCs/>
          <w:sz w:val="28"/>
          <w:szCs w:val="28"/>
          <w:lang w:val="en-US" w:eastAsia="zh-CN"/>
        </w:rPr>
      </w:pPr>
      <w:r>
        <w:rPr>
          <w:rFonts w:hint="eastAsia" w:ascii="微软雅黑" w:hAnsi="微软雅黑" w:eastAsia="微软雅黑" w:cs="微软雅黑"/>
          <w:b/>
          <w:bCs/>
          <w:sz w:val="32"/>
          <w:szCs w:val="32"/>
          <w:lang w:val="en-US" w:eastAsia="zh-CN"/>
        </w:rPr>
        <w:t>论网络平台对网络暴力的事前防范义务</w:t>
      </w:r>
    </w:p>
    <w:p w14:paraId="2CD2D1B5">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center"/>
        <w:textAlignment w:val="auto"/>
        <w:rPr>
          <w:rFonts w:hint="eastAsia" w:ascii="仿宋" w:hAnsi="仿宋" w:eastAsia="仿宋" w:cs="仿宋"/>
          <w:b/>
          <w:bCs/>
          <w:sz w:val="28"/>
          <w:szCs w:val="28"/>
          <w:lang w:val="en-US" w:eastAsia="zh-CN"/>
        </w:rPr>
      </w:pPr>
    </w:p>
    <w:p w14:paraId="3A9FC8A3">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center"/>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任梦茹</w:t>
      </w:r>
    </w:p>
    <w:p w14:paraId="4D25A68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14:paraId="54935F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bCs/>
          <w:sz w:val="24"/>
          <w:szCs w:val="24"/>
          <w:lang w:val="en-US" w:eastAsia="zh-CN"/>
        </w:rPr>
      </w:pPr>
    </w:p>
    <w:p w14:paraId="7D4A0A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摘要</w:t>
      </w:r>
      <w:r>
        <w:rPr>
          <w:rFonts w:hint="eastAsia" w:ascii="宋体" w:hAnsi="宋体" w:eastAsia="宋体" w:cs="宋体"/>
          <w:sz w:val="24"/>
          <w:szCs w:val="24"/>
          <w:lang w:val="en-US" w:eastAsia="zh-CN"/>
        </w:rPr>
        <w:t>：网络平台为</w:t>
      </w:r>
      <w:r>
        <w:rPr>
          <w:rFonts w:hint="eastAsia" w:ascii="宋体" w:hAnsi="宋体" w:eastAsia="宋体" w:cs="宋体"/>
          <w:sz w:val="24"/>
          <w:szCs w:val="24"/>
          <w:lang w:val="en-US" w:eastAsia="zh-Hans"/>
        </w:rPr>
        <w:t>网络</w:t>
      </w:r>
      <w:r>
        <w:rPr>
          <w:rFonts w:hint="eastAsia" w:ascii="宋体" w:hAnsi="宋体" w:eastAsia="宋体" w:cs="宋体"/>
          <w:sz w:val="24"/>
          <w:szCs w:val="24"/>
          <w:lang w:val="en-US" w:eastAsia="zh-CN"/>
        </w:rPr>
        <w:t>用户发表言论提供更多空间，也给网络暴力侵权埋下隐患。网络暴力具有传播速度快、群体聚合性强、事后损害不可逆等特征，传统的事后救济方式难以维护受害人的合法权益。从事前预防更有利于治理网络暴力、保护受害人的合法权益。承接政府监管义务的网络平台，实际已成为私权力主体，具有依托算法等技术事前防范网络暴力的能力。现行法律法规为网络平台承担网络暴力事前防范义务提供了依据，但多为原则性规定，不易被落实。从实名登记、网络暴力检测模型建立、不良信息提醒、违法信息屏蔽、实时巡查、申诉机制建立这几个方面入手，可以为网络平台事前防范义务的落实提供一些建议。</w:t>
      </w:r>
    </w:p>
    <w:p w14:paraId="0D595C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sz w:val="24"/>
          <w:szCs w:val="24"/>
          <w:lang w:val="en-US" w:eastAsia="zh-CN"/>
        </w:rPr>
      </w:pPr>
      <w:r>
        <w:rPr>
          <w:rFonts w:hint="eastAsia" w:ascii="宋体" w:hAnsi="宋体" w:eastAsia="宋体" w:cs="宋体"/>
          <w:b/>
          <w:bCs/>
          <w:sz w:val="24"/>
          <w:szCs w:val="24"/>
          <w:lang w:val="en-US" w:eastAsia="zh-CN"/>
        </w:rPr>
        <w:t>关键词</w:t>
      </w:r>
      <w:r>
        <w:rPr>
          <w:rFonts w:hint="eastAsia" w:ascii="宋体" w:hAnsi="宋体" w:eastAsia="宋体" w:cs="宋体"/>
          <w:sz w:val="24"/>
          <w:szCs w:val="24"/>
          <w:lang w:val="en-US" w:eastAsia="zh-CN"/>
        </w:rPr>
        <w:t>：网络暴力；平台治理；算法；信息传播；侵权</w:t>
      </w:r>
    </w:p>
    <w:p w14:paraId="170F95B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b/>
          <w:bCs/>
          <w:sz w:val="24"/>
          <w:szCs w:val="24"/>
          <w:lang w:val="en-US" w:eastAsia="zh-CN"/>
        </w:rPr>
      </w:pPr>
    </w:p>
    <w:p w14:paraId="621DAED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仿宋" w:cs="Times New Roman"/>
          <w:sz w:val="24"/>
          <w:szCs w:val="24"/>
          <w:lang w:val="en-US" w:eastAsia="zh-CN"/>
        </w:rPr>
      </w:pPr>
    </w:p>
    <w:p w14:paraId="1BC0484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引言</w:t>
      </w:r>
    </w:p>
    <w:p w14:paraId="3D3466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14:paraId="5A9060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根据中国互联网络信息中心网站发布的第57次《中国互联网络发展状况统计报告》，截至2025年12月，我国网民规模达11.25亿人，互联网普及率达80.1%。</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0"/>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随着互联网的普及以及互联网技术的发展，网络用户有更多的平台发表言论。同时，网络用户不加控制的言论也引发了大量的网络暴力案件。2018年，四川德阳的安医生与职业为公务员的丈夫到游泳馆游泳，因疑似被两名男孩“冒犯”而与男孩家长一方发生冲突，后此事件被媒体以“医生”“公务员”等标签炒作导致安医生遭受网络暴力，后其不堪忍受服用安眠药自杀身亡。2022年，杭州女孩郑灵华因染粉色头发而遭遇大规模网暴。有网友咒骂其爷爷的健康状况，有人编造谣言，还有营销号照搬图片编故事卖专升本的课程以获取经济利益，2023年该女孩因网暴抑郁而终。2023年，武汉一小学生在校内被老师开车撞倒身亡后，其母亲痛苦不堪的视频被上传至网络，却因穿戴问题被网友攻击，七天后该母亲因网络暴力选择在孩子忌日跳楼身亡；2025年，河南周口的一名妇产科医生疑因不堪网暴长期侵扰坠楼身亡......这些惨痛案件是为大众广泛知晓的典型，在这些案件背后还有很多网络暴力案件侵犯受害人的合法权益。</w:t>
      </w:r>
    </w:p>
    <w:p w14:paraId="01B287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网络暴力的杀伤力不容小觑，在互联网的巨大声浪面前，个人势单力薄。然而，在算法推荐机制背景下，加之网络暴力本身的群体性、聚合性特征，传统以个人事后追责为中心的法律规制模式失灵。一方面，网络暴力所造成的损害是无数个体行为在算法推荐机制下的集体合力所致，难以将责任归咎于任何一个特定的行为人；另一方面，网络暴力的伤害往往在极短时间内形成并扩散，事后追责无法挽回已经造成的损害。要避免类似悲剧的发生，应将网暴治理的关口前移，从事后查处向事前防范转移才能为身处困境的个体撑好保护之伞。</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相关法律早已界定了网络平台对于网络暴力的事前防范义务，但多为抽象的原则性规定。因此，通过构建网络平台的具体事前防范义务，实现从“事后被动响应”到“事前主动预防”，有助于更好地防范网络暴力。</w:t>
      </w:r>
    </w:p>
    <w:p w14:paraId="0E1E6B3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p>
    <w:p w14:paraId="250AC2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仿宋" w:hAnsi="仿宋" w:eastAsia="仿宋" w:cs="仿宋"/>
          <w:sz w:val="24"/>
          <w:szCs w:val="24"/>
          <w:lang w:val="en-US" w:eastAsia="zh-CN"/>
        </w:rPr>
      </w:pPr>
      <w:r>
        <w:rPr>
          <w:rFonts w:hint="eastAsia" w:ascii="宋体" w:hAnsi="宋体" w:eastAsia="宋体" w:cs="宋体"/>
          <w:b/>
          <w:bCs/>
          <w:sz w:val="24"/>
          <w:szCs w:val="24"/>
          <w:lang w:val="en-US" w:eastAsia="zh-CN"/>
        </w:rPr>
        <w:t>二、网络暴力事后治理的困境</w:t>
      </w:r>
    </w:p>
    <w:p w14:paraId="1C4CD0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仿宋" w:hAnsi="仿宋" w:eastAsia="仿宋" w:cs="仿宋"/>
          <w:b/>
          <w:bCs/>
          <w:sz w:val="24"/>
          <w:szCs w:val="24"/>
          <w:lang w:val="en-US" w:eastAsia="zh-CN"/>
        </w:rPr>
      </w:pPr>
    </w:p>
    <w:p w14:paraId="7B509A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（一）网络暴力概念难以界定</w:t>
      </w:r>
    </w:p>
    <w:p w14:paraId="0A52E6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对某种行为追责的前提之一是界定该行为的概念以判断其</w:t>
      </w:r>
      <w:r>
        <w:rPr>
          <w:rFonts w:hint="eastAsia" w:ascii="宋体" w:hAnsi="宋体" w:eastAsia="宋体" w:cs="宋体"/>
          <w:sz w:val="24"/>
          <w:szCs w:val="24"/>
          <w:lang w:val="en-US" w:eastAsia="zh-Hans"/>
        </w:rPr>
        <w:t>是否符合构成要件</w:t>
      </w:r>
      <w:r>
        <w:rPr>
          <w:rFonts w:hint="eastAsia" w:ascii="宋体" w:hAnsi="宋体" w:eastAsia="宋体" w:cs="宋体"/>
          <w:sz w:val="24"/>
          <w:szCs w:val="24"/>
          <w:lang w:val="en-US" w:eastAsia="zh-CN"/>
        </w:rPr>
        <w:t>，但目前对“网络暴力”没有明确定义。在理论层面，有观点认为网络暴力是网民采用制造心理压力的手段，所实行的迫使当事人或组织屈服的网络攻击性行为的总称。</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有观点认为网络暴力是指通过网络针对特定个人或群体传播违法信息的方式，反复、持续实施侵害的一般网络失范或违法犯罪行为。</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3"/>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还有观点认为网络暴力是主要采取语言暴力形式，对他人名誉权、隐私权等权益产生不利影响的一种行为。</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4"/>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在法律法规层面，最高人民法院、最高人民检察院、公安部在2023年9月25日发布的《关于依法惩治网络暴力违法犯罪的指导意见》提及网络暴力涉及以下行为及后果：在信息网络上针对个人肆意发布谩骂侮辱、造谣诽谤、侵犯隐私等行为；引发贬损他人人格，损害他人名誉，造成他人“社会性死亡”甚至精神失常、自杀等后果；产生扰乱网络秩序，破坏网络生态，致使网络空间戾气横行，严重影响社会公众安全感等不利影响。2024年8月1日施行的《网络暴力信息治理规定》第32条表明其所规定的网络暴力信息，是指通过网络以文本、图像、音频、视频等形式对个人集中发布的，含有侮辱谩骂、造谣诽谤、煽动仇恨、威逼胁迫、侵犯隐私，以及影响身心健康的指责嘲讽、贬低歧视等内容的违法和不良信息。</w:t>
      </w:r>
    </w:p>
    <w:p w14:paraId="0F0140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宋体" w:hAnsi="宋体" w:eastAsia="宋体" w:cs="宋体"/>
          <w:sz w:val="24"/>
          <w:szCs w:val="24"/>
          <w:lang w:val="en-US" w:eastAsia="zh-CN"/>
        </w:rPr>
        <w:t>但理论层面的主张只是在特定语境环境中对网络暴力进行的阶段性经验总结，法律层面有关网络暴力的规定的内涵过于笼统。网络暴力中的“暴力”只是一种修辞手法，很难明确这种意象性概念在法律规范中的具体构成要件。</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5"/>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此外，网络暴力作为传统暴力行为在网络空间的延伸，其所导致的损害后果受到算法等信息传播因素的影响，难以明确界定其概念。</w:t>
      </w:r>
    </w:p>
    <w:p w14:paraId="21271AC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网络暴力中</w:t>
      </w:r>
      <w:r>
        <w:rPr>
          <w:rFonts w:hint="eastAsia" w:ascii="宋体" w:hAnsi="宋体" w:eastAsia="宋体" w:cs="宋体"/>
          <w:b/>
          <w:bCs/>
          <w:sz w:val="24"/>
          <w:szCs w:val="24"/>
          <w:lang w:val="en-US" w:eastAsia="zh-Hans"/>
        </w:rPr>
        <w:t>的</w:t>
      </w:r>
      <w:r>
        <w:rPr>
          <w:rFonts w:hint="eastAsia" w:ascii="宋体" w:hAnsi="宋体" w:eastAsia="宋体" w:cs="宋体"/>
          <w:b/>
          <w:bCs/>
          <w:sz w:val="24"/>
          <w:szCs w:val="24"/>
          <w:lang w:val="en-US" w:eastAsia="zh-CN"/>
        </w:rPr>
        <w:t>个体责任难以认定</w:t>
      </w:r>
    </w:p>
    <w:p w14:paraId="12FDB0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1.网络暴力成因复杂影响个体责任认定</w:t>
      </w:r>
    </w:p>
    <w:p w14:paraId="66A9FD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textAlignment w:val="auto"/>
        <w:rPr>
          <w:rFonts w:hint="eastAsia" w:ascii="仿宋" w:hAnsi="仿宋" w:eastAsia="宋体" w:cs="仿宋"/>
          <w:sz w:val="24"/>
          <w:szCs w:val="24"/>
          <w:lang w:val="en-US" w:eastAsia="zh-CN"/>
        </w:rPr>
      </w:pPr>
      <w:r>
        <w:rPr>
          <w:rFonts w:hint="eastAsia" w:ascii="仿宋" w:hAnsi="仿宋" w:eastAsia="宋体" w:cs="仿宋"/>
          <w:sz w:val="24"/>
          <w:szCs w:val="24"/>
          <w:lang w:val="en-US" w:eastAsia="zh-CN"/>
        </w:rPr>
        <w:t>网络暴力在信息传播和社会心理交互作用过程中形成，受算法推荐等各种因素影响，不能将责任简单地归结于个体。互联网的发展使人们的交往场合从“线下”向“线上”转移，网络平台是人们发表观点、宣泄情绪的重要场所。部分网络用户在平台对相关主体发布含有网络暴力信息的言语评论，这些评论通常含有侮辱谩骂、造谣诽谤、煽动仇恨、威逼胁迫、侵犯隐私，以及影响身心健康的指责嘲讽、贬低歧视等内容，容易点燃社会公众的情绪。加之互联网旁观者群体数量多，大量“吃瓜群众”的点赞、评论和转发会使该网络暴力信息获得更多的关注度，更多网络平台用户会被卷入网络暴力。</w:t>
      </w:r>
      <w:r>
        <w:rPr>
          <w:rStyle w:val="7"/>
          <w:rFonts w:hint="eastAsia" w:ascii="仿宋" w:hAnsi="仿宋" w:eastAsia="宋体" w:cs="仿宋"/>
          <w:sz w:val="24"/>
          <w:szCs w:val="24"/>
          <w:lang w:val="en-US" w:eastAsia="zh-CN"/>
        </w:rPr>
        <w:t>[</w:t>
      </w:r>
      <w:r>
        <w:rPr>
          <w:rStyle w:val="7"/>
          <w:rFonts w:hint="eastAsia" w:ascii="仿宋" w:hAnsi="仿宋" w:eastAsia="宋体" w:cs="仿宋"/>
          <w:sz w:val="24"/>
          <w:szCs w:val="24"/>
          <w:lang w:val="en-US" w:eastAsia="zh-CN"/>
        </w:rPr>
        <w:footnoteReference w:id="6"/>
      </w:r>
      <w:r>
        <w:rPr>
          <w:rStyle w:val="7"/>
          <w:rFonts w:hint="eastAsia" w:ascii="仿宋" w:hAnsi="仿宋" w:eastAsia="宋体" w:cs="仿宋"/>
          <w:sz w:val="24"/>
          <w:szCs w:val="24"/>
          <w:lang w:val="en-US" w:eastAsia="zh-CN"/>
        </w:rPr>
        <w:t>]</w:t>
      </w:r>
      <w:r>
        <w:rPr>
          <w:rFonts w:hint="eastAsia" w:ascii="仿宋" w:hAnsi="仿宋" w:eastAsia="宋体" w:cs="仿宋"/>
          <w:sz w:val="24"/>
          <w:szCs w:val="24"/>
          <w:lang w:val="en-US" w:eastAsia="zh-CN"/>
        </w:rPr>
        <w:t>不良评论被具有盲目从众或不怀好意的用户附和后，海量言语评论会形成一把尖刀利剑，严重伤害受害者的身心健康。甚至有网络平台用户抱有伤害相关主体的故意，在网络平台上发表具有引导性的不良言论，以达到损害相关主体权益的目的。</w:t>
      </w:r>
    </w:p>
    <w:p w14:paraId="24B7A8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textAlignment w:val="auto"/>
        <w:rPr>
          <w:rFonts w:hint="eastAsia" w:ascii="仿宋" w:hAnsi="仿宋" w:eastAsia="宋体" w:cs="仿宋"/>
          <w:sz w:val="24"/>
          <w:szCs w:val="24"/>
          <w:lang w:val="en-US" w:eastAsia="zh-CN"/>
        </w:rPr>
      </w:pPr>
      <w:r>
        <w:rPr>
          <w:rFonts w:hint="eastAsia" w:ascii="仿宋" w:hAnsi="仿宋" w:eastAsia="宋体" w:cs="仿宋"/>
          <w:sz w:val="24"/>
          <w:szCs w:val="24"/>
          <w:lang w:val="en-US" w:eastAsia="zh-CN"/>
        </w:rPr>
        <w:t>在追逐流量、获取利益的目标导向下，算法会将热度高的内容推送给更多网络平台用户，在大数据的推送下内容会获得更多关注度。而网络平台作为流量的主要受益者，可能为了利益而忽视应履行的网络暴力预防义务。在不加控制的情况下，网络暴力的漩涡会越来越大。此外，在智能社会背景下，传播网络和社会心理机制发生了变化，算法推荐容易夺走人类对网络暴力信息流的控制，进一步增加了网络暴力信息的风险。</w:t>
      </w:r>
      <w:r>
        <w:rPr>
          <w:rStyle w:val="7"/>
          <w:rFonts w:hint="eastAsia" w:ascii="仿宋" w:hAnsi="仿宋" w:eastAsia="宋体" w:cs="仿宋"/>
          <w:sz w:val="24"/>
          <w:szCs w:val="24"/>
          <w:lang w:val="en-US" w:eastAsia="zh-CN"/>
        </w:rPr>
        <w:t>[</w:t>
      </w:r>
      <w:r>
        <w:rPr>
          <w:rStyle w:val="7"/>
          <w:rFonts w:hint="eastAsia" w:ascii="仿宋" w:hAnsi="仿宋" w:eastAsia="宋体" w:cs="仿宋"/>
          <w:sz w:val="24"/>
          <w:szCs w:val="24"/>
          <w:lang w:val="en-US" w:eastAsia="zh-CN"/>
        </w:rPr>
        <w:footnoteReference w:id="7"/>
      </w:r>
      <w:r>
        <w:rPr>
          <w:rStyle w:val="7"/>
          <w:rFonts w:hint="eastAsia" w:ascii="仿宋" w:hAnsi="仿宋" w:eastAsia="宋体" w:cs="仿宋"/>
          <w:sz w:val="24"/>
          <w:szCs w:val="24"/>
          <w:lang w:val="en-US" w:eastAsia="zh-CN"/>
        </w:rPr>
        <w:t>]</w:t>
      </w:r>
      <w:r>
        <w:rPr>
          <w:rFonts w:hint="eastAsia" w:ascii="仿宋" w:hAnsi="仿宋" w:eastAsia="宋体" w:cs="仿宋"/>
          <w:sz w:val="24"/>
          <w:szCs w:val="24"/>
          <w:lang w:val="en-US" w:eastAsia="zh-CN"/>
        </w:rPr>
        <w:t>在传播网络方面，</w:t>
      </w:r>
      <w:r>
        <w:rPr>
          <w:rFonts w:hint="eastAsia" w:ascii="仿宋" w:hAnsi="仿宋" w:eastAsia="宋体" w:cs="仿宋"/>
          <w:sz w:val="24"/>
          <w:szCs w:val="24"/>
          <w:lang w:val="en-US" w:eastAsia="zh-Hans"/>
        </w:rPr>
        <w:t>人</w:t>
      </w:r>
      <w:r>
        <w:rPr>
          <w:rFonts w:hint="eastAsia" w:ascii="仿宋" w:hAnsi="仿宋" w:eastAsia="宋体" w:cs="仿宋"/>
          <w:sz w:val="24"/>
          <w:szCs w:val="24"/>
          <w:lang w:val="en-US" w:eastAsia="zh-CN"/>
        </w:rPr>
        <w:t>工智能作为新的智能节点，既成为传播中心枢纽，又改变其他节点属性；同时让网络拓扑结构从相对静态变为自适应、动态可调。这促使网暴传播速度更快、范围更广，且呈现非线性、难预测、难控制的特点，增加了治理难度。</w:t>
      </w:r>
      <w:r>
        <w:rPr>
          <w:rStyle w:val="7"/>
          <w:rFonts w:hint="eastAsia" w:ascii="仿宋" w:hAnsi="仿宋" w:eastAsia="宋体" w:cs="仿宋"/>
          <w:sz w:val="24"/>
          <w:szCs w:val="24"/>
          <w:lang w:val="en-US" w:eastAsia="zh-CN"/>
        </w:rPr>
        <w:t>[</w:t>
      </w:r>
      <w:r>
        <w:rPr>
          <w:rStyle w:val="7"/>
          <w:rFonts w:hint="eastAsia" w:ascii="仿宋" w:hAnsi="仿宋" w:eastAsia="宋体" w:cs="仿宋"/>
          <w:sz w:val="24"/>
          <w:szCs w:val="24"/>
          <w:lang w:val="en-US" w:eastAsia="zh-CN"/>
        </w:rPr>
        <w:footnoteReference w:id="8"/>
      </w:r>
      <w:r>
        <w:rPr>
          <w:rStyle w:val="7"/>
          <w:rFonts w:hint="eastAsia" w:ascii="仿宋" w:hAnsi="仿宋" w:eastAsia="宋体" w:cs="仿宋"/>
          <w:sz w:val="24"/>
          <w:szCs w:val="24"/>
          <w:lang w:val="en-US" w:eastAsia="zh-CN"/>
        </w:rPr>
        <w:t>]</w:t>
      </w:r>
      <w:r>
        <w:rPr>
          <w:rFonts w:hint="eastAsia" w:ascii="仿宋" w:hAnsi="仿宋" w:eastAsia="宋体" w:cs="仿宋"/>
          <w:sz w:val="24"/>
          <w:szCs w:val="24"/>
          <w:lang w:val="en-US" w:eastAsia="zh-CN"/>
        </w:rPr>
        <w:t>在心理机制方面，网络空间的匿名性和去抑制性等特点使网络平台用户的心理具有较高的自我效能和道德脱离特征。</w:t>
      </w:r>
      <w:r>
        <w:rPr>
          <w:rStyle w:val="7"/>
          <w:rFonts w:hint="eastAsia" w:ascii="仿宋" w:hAnsi="仿宋" w:eastAsia="宋体" w:cs="仿宋"/>
          <w:sz w:val="24"/>
          <w:szCs w:val="24"/>
          <w:lang w:val="en-US" w:eastAsia="zh-CN"/>
        </w:rPr>
        <w:t>[</w:t>
      </w:r>
      <w:r>
        <w:rPr>
          <w:rStyle w:val="7"/>
          <w:rFonts w:hint="eastAsia" w:ascii="仿宋" w:hAnsi="仿宋" w:eastAsia="宋体" w:cs="仿宋"/>
          <w:sz w:val="24"/>
          <w:szCs w:val="24"/>
          <w:lang w:val="en-US" w:eastAsia="zh-CN"/>
        </w:rPr>
        <w:footnoteReference w:id="9"/>
      </w:r>
      <w:r>
        <w:rPr>
          <w:rStyle w:val="7"/>
          <w:rFonts w:hint="eastAsia" w:ascii="仿宋" w:hAnsi="仿宋" w:eastAsia="宋体" w:cs="仿宋"/>
          <w:sz w:val="24"/>
          <w:szCs w:val="24"/>
          <w:lang w:val="en-US" w:eastAsia="zh-CN"/>
        </w:rPr>
        <w:t>]</w:t>
      </w:r>
      <w:r>
        <w:rPr>
          <w:rFonts w:hint="eastAsia" w:ascii="仿宋" w:hAnsi="仿宋" w:eastAsia="宋体" w:cs="仿宋"/>
          <w:sz w:val="24"/>
          <w:szCs w:val="24"/>
          <w:lang w:val="en-US" w:eastAsia="zh-CN"/>
        </w:rPr>
        <w:t>在能够借助人工智能创造虚拟环境和数字化身的情况下，网络平台用户的匿名感和去个体化进一步被增强，</w:t>
      </w:r>
      <w:r>
        <w:rPr>
          <w:rStyle w:val="7"/>
          <w:rFonts w:hint="eastAsia" w:ascii="仿宋" w:hAnsi="仿宋" w:eastAsia="宋体" w:cs="仿宋"/>
          <w:sz w:val="24"/>
          <w:szCs w:val="24"/>
          <w:lang w:val="en-US" w:eastAsia="zh-CN"/>
        </w:rPr>
        <w:t>[</w:t>
      </w:r>
      <w:r>
        <w:rPr>
          <w:rStyle w:val="7"/>
          <w:rFonts w:hint="eastAsia" w:ascii="仿宋" w:hAnsi="仿宋" w:eastAsia="宋体" w:cs="仿宋"/>
          <w:sz w:val="24"/>
          <w:szCs w:val="24"/>
          <w:lang w:val="en-US" w:eastAsia="zh-CN"/>
        </w:rPr>
        <w:footnoteReference w:id="10"/>
      </w:r>
      <w:r>
        <w:rPr>
          <w:rStyle w:val="7"/>
          <w:rFonts w:hint="eastAsia" w:ascii="仿宋" w:hAnsi="仿宋" w:eastAsia="宋体" w:cs="仿宋"/>
          <w:sz w:val="24"/>
          <w:szCs w:val="24"/>
          <w:lang w:val="en-US" w:eastAsia="zh-CN"/>
        </w:rPr>
        <w:t>]</w:t>
      </w:r>
      <w:r>
        <w:rPr>
          <w:rFonts w:hint="eastAsia" w:ascii="仿宋" w:hAnsi="仿宋" w:eastAsia="宋体" w:cs="仿宋"/>
          <w:sz w:val="24"/>
          <w:szCs w:val="24"/>
          <w:lang w:val="en-US" w:eastAsia="zh-CN"/>
        </w:rPr>
        <w:t>比如作为算法操纵对象之一的傀儡账户，是为了欺骗目的而被创建的在线身份，可借助算法批量生成，在传播网络暴力信息的同时能够隐藏网络平台用户的真实身份。</w:t>
      </w:r>
    </w:p>
    <w:p w14:paraId="0AA584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textAlignment w:val="auto"/>
        <w:rPr>
          <w:rFonts w:hint="eastAsia" w:ascii="仿宋" w:hAnsi="仿宋" w:eastAsia="宋体" w:cs="仿宋"/>
          <w:sz w:val="24"/>
          <w:szCs w:val="24"/>
          <w:lang w:val="en-US" w:eastAsia="zh-CN"/>
        </w:rPr>
      </w:pPr>
      <w:r>
        <w:rPr>
          <w:rFonts w:hint="eastAsia" w:ascii="仿宋" w:hAnsi="仿宋" w:eastAsia="宋体" w:cs="仿宋"/>
          <w:sz w:val="24"/>
          <w:szCs w:val="24"/>
          <w:lang w:val="en-US" w:eastAsia="zh-CN"/>
        </w:rPr>
        <w:t>在算法等因素的加持下，大大增加了网络平台用户实施网络暴力行为的可能性。在此背景下，网络暴力造成损害后，单纯地将责任归结于个体是不公平的。</w:t>
      </w:r>
    </w:p>
    <w:p w14:paraId="0ABF2F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textAlignment w:val="auto"/>
        <w:rPr>
          <w:rFonts w:hint="default" w:ascii="仿宋" w:hAnsi="仿宋" w:eastAsia="宋体" w:cs="仿宋"/>
          <w:sz w:val="24"/>
          <w:szCs w:val="24"/>
          <w:lang w:val="en-US" w:eastAsia="zh-CN"/>
        </w:rPr>
      </w:pPr>
      <w:r>
        <w:rPr>
          <w:rFonts w:hint="eastAsia" w:ascii="仿宋" w:hAnsi="仿宋" w:eastAsia="宋体" w:cs="仿宋"/>
          <w:b/>
          <w:bCs/>
          <w:sz w:val="24"/>
          <w:szCs w:val="24"/>
          <w:lang w:val="en-US" w:eastAsia="zh-CN"/>
        </w:rPr>
        <w:t>2.网络暴力侵权主体归责难度高</w:t>
      </w:r>
    </w:p>
    <w:p w14:paraId="0DF838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仿宋" w:hAnsi="仿宋" w:eastAsia="宋体" w:cs="仿宋"/>
          <w:sz w:val="24"/>
          <w:szCs w:val="24"/>
          <w:lang w:val="en-US" w:eastAsia="zh-CN"/>
        </w:rPr>
      </w:pPr>
      <w:r>
        <w:rPr>
          <w:rFonts w:hint="eastAsia" w:ascii="仿宋" w:hAnsi="仿宋" w:eastAsia="宋体" w:cs="仿宋"/>
          <w:sz w:val="24"/>
          <w:szCs w:val="24"/>
          <w:lang w:val="en-US" w:eastAsia="zh-CN"/>
        </w:rPr>
        <w:t>网络暴力侵权中</w:t>
      </w:r>
      <w:r>
        <w:rPr>
          <w:rFonts w:hint="default" w:ascii="仿宋" w:hAnsi="仿宋" w:eastAsia="宋体" w:cs="仿宋"/>
          <w:sz w:val="24"/>
          <w:szCs w:val="24"/>
          <w:lang w:val="en-US" w:eastAsia="zh-CN"/>
        </w:rPr>
        <w:t>责任主体认定难</w:t>
      </w:r>
      <w:r>
        <w:rPr>
          <w:rFonts w:hint="eastAsia" w:ascii="仿宋" w:hAnsi="仿宋" w:eastAsia="宋体" w:cs="仿宋"/>
          <w:sz w:val="24"/>
          <w:szCs w:val="24"/>
          <w:lang w:val="en-US" w:eastAsia="zh-CN"/>
        </w:rPr>
        <w:t>、</w:t>
      </w:r>
      <w:r>
        <w:rPr>
          <w:rFonts w:hint="default" w:ascii="仿宋" w:hAnsi="仿宋" w:eastAsia="宋体" w:cs="仿宋"/>
          <w:sz w:val="24"/>
          <w:szCs w:val="24"/>
          <w:lang w:val="en-US" w:eastAsia="zh-CN"/>
        </w:rPr>
        <w:t>维权成本高</w:t>
      </w:r>
      <w:r>
        <w:rPr>
          <w:rFonts w:hint="eastAsia" w:ascii="仿宋" w:hAnsi="仿宋" w:eastAsia="宋体" w:cs="仿宋"/>
          <w:sz w:val="24"/>
          <w:szCs w:val="24"/>
          <w:lang w:val="en-US" w:eastAsia="zh-CN"/>
        </w:rPr>
        <w:t>，难以对网络暴力的侵权主体归责</w:t>
      </w:r>
      <w:r>
        <w:rPr>
          <w:rFonts w:hint="default" w:ascii="仿宋" w:hAnsi="仿宋" w:eastAsia="宋体" w:cs="仿宋"/>
          <w:sz w:val="24"/>
          <w:szCs w:val="24"/>
          <w:lang w:val="en-US" w:eastAsia="zh-CN"/>
        </w:rPr>
        <w:t>。在责任主体认定方面，网络暴力视域下的侵权不同于其他领域的侵权，在复杂的网络集群效应中，既不能对群体归责，也难以认定个体责任。其一，网络暴力中的实际损害是集体行为合力所致，最早的参与者不一定负有主要责任</w:t>
      </w:r>
      <w:r>
        <w:rPr>
          <w:rFonts w:hint="eastAsia" w:ascii="仿宋" w:hAnsi="仿宋" w:eastAsia="宋体" w:cs="仿宋"/>
          <w:sz w:val="24"/>
          <w:szCs w:val="24"/>
          <w:lang w:val="en-US" w:eastAsia="zh-CN"/>
        </w:rPr>
        <w:t>。如果把网络暴力中的行为人分为发起者和传播者，随着事件的发酵以及网络用户对流量的追逐，发起者可能变成传播者，传播者也可能成为新的发起者。因此</w:t>
      </w:r>
      <w:r>
        <w:rPr>
          <w:rFonts w:hint="default" w:ascii="仿宋" w:hAnsi="仿宋" w:eastAsia="宋体" w:cs="仿宋"/>
          <w:sz w:val="24"/>
          <w:szCs w:val="24"/>
          <w:lang w:val="en-US" w:eastAsia="zh-CN"/>
        </w:rPr>
        <w:t>在无法对群体归责的情况下，也难以对个体进行归责。其二，网络语言的匿名性，</w:t>
      </w:r>
      <w:r>
        <w:rPr>
          <w:rFonts w:hint="eastAsia" w:ascii="仿宋" w:hAnsi="仿宋" w:eastAsia="宋体" w:cs="仿宋"/>
          <w:sz w:val="24"/>
          <w:szCs w:val="24"/>
          <w:lang w:val="en-US" w:eastAsia="zh-CN"/>
        </w:rPr>
        <w:t>给</w:t>
      </w:r>
      <w:r>
        <w:rPr>
          <w:rFonts w:hint="default" w:ascii="仿宋" w:hAnsi="仿宋" w:eastAsia="宋体" w:cs="仿宋"/>
          <w:sz w:val="24"/>
          <w:szCs w:val="24"/>
          <w:lang w:val="en-US" w:eastAsia="zh-CN"/>
        </w:rPr>
        <w:t>个人归责增加了困难。我国并</w:t>
      </w:r>
      <w:r>
        <w:rPr>
          <w:rFonts w:hint="eastAsia" w:ascii="仿宋" w:hAnsi="仿宋" w:eastAsia="宋体" w:cs="仿宋"/>
          <w:sz w:val="24"/>
          <w:szCs w:val="24"/>
          <w:lang w:val="en-US" w:eastAsia="zh-CN"/>
        </w:rPr>
        <w:t>没有</w:t>
      </w:r>
      <w:r>
        <w:rPr>
          <w:rFonts w:hint="default" w:ascii="仿宋" w:hAnsi="仿宋" w:eastAsia="宋体" w:cs="仿宋"/>
          <w:sz w:val="24"/>
          <w:szCs w:val="24"/>
          <w:lang w:val="en-US" w:eastAsia="zh-CN"/>
        </w:rPr>
        <w:t>法律强行规范网民在实名制的情况下才能获得相关服务，仅有个别地区有关于实名认证的规范性文件。比如《北京市微博客发展管理若干规定》提出：“任何组织或者个人注册微博客账号，应当使用真实身份信息；网站开展微博客服务，应当保证注册用户信息真实。”这种规范性文件面对全国互联互通的网络不足以发挥效用</w:t>
      </w:r>
      <w:r>
        <w:rPr>
          <w:rFonts w:hint="eastAsia" w:ascii="仿宋" w:hAnsi="仿宋" w:eastAsia="宋体" w:cs="仿宋"/>
          <w:sz w:val="24"/>
          <w:szCs w:val="24"/>
          <w:lang w:val="en-US" w:eastAsia="zh-CN"/>
        </w:rPr>
        <w:t>。</w:t>
      </w:r>
      <w:r>
        <w:rPr>
          <w:rFonts w:hint="default" w:ascii="仿宋" w:hAnsi="仿宋" w:eastAsia="宋体" w:cs="仿宋"/>
          <w:sz w:val="24"/>
          <w:szCs w:val="24"/>
          <w:lang w:val="en-US" w:eastAsia="zh-CN"/>
        </w:rPr>
        <w:t>因此在未实名制的网络空间下，面对陌生网络用户的网暴行为，普通人几乎没有确定责任主体的能力，这也使得受害者难以提起民事诉讼。</w:t>
      </w:r>
    </w:p>
    <w:p w14:paraId="392B14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仿宋" w:hAnsi="仿宋" w:eastAsia="宋体" w:cs="仿宋"/>
          <w:sz w:val="24"/>
          <w:szCs w:val="24"/>
          <w:lang w:val="en-US" w:eastAsia="zh-CN"/>
        </w:rPr>
      </w:pPr>
      <w:r>
        <w:rPr>
          <w:rFonts w:hint="default" w:ascii="仿宋" w:hAnsi="仿宋" w:eastAsia="宋体" w:cs="仿宋"/>
          <w:sz w:val="24"/>
          <w:szCs w:val="24"/>
          <w:lang w:val="en-US" w:eastAsia="zh-CN"/>
        </w:rPr>
        <w:t>在维权成本方面，受害人搜集证据和起诉需要付出高昂的时间和经济成本。面对集体中的众多个体，起诉侵权者需要搜集大量证据，如果事件继续发酵则需要搜集新的侵权证据。网络用户的匿名性使得受害者难以获取</w:t>
      </w:r>
      <w:r>
        <w:rPr>
          <w:rFonts w:hint="eastAsia" w:ascii="仿宋" w:hAnsi="仿宋" w:eastAsia="宋体" w:cs="仿宋"/>
          <w:sz w:val="24"/>
          <w:szCs w:val="24"/>
          <w:lang w:val="en-US" w:eastAsia="zh-CN"/>
        </w:rPr>
        <w:t>侵权者</w:t>
      </w:r>
      <w:r>
        <w:rPr>
          <w:rFonts w:hint="default" w:ascii="仿宋" w:hAnsi="仿宋" w:eastAsia="宋体" w:cs="仿宋"/>
          <w:sz w:val="24"/>
          <w:szCs w:val="24"/>
          <w:lang w:val="en-US" w:eastAsia="zh-CN"/>
        </w:rPr>
        <w:t>的身份信息，且网络用户随时可以删除信息，这给受害者搜集证据带来诸多困难。</w:t>
      </w:r>
      <w:r>
        <w:rPr>
          <w:rFonts w:hint="eastAsia" w:ascii="仿宋" w:hAnsi="仿宋" w:eastAsia="宋体" w:cs="仿宋"/>
          <w:sz w:val="24"/>
          <w:szCs w:val="24"/>
          <w:lang w:val="en-US" w:eastAsia="zh-CN"/>
        </w:rPr>
        <w:t>此外，</w:t>
      </w:r>
      <w:r>
        <w:rPr>
          <w:rFonts w:hint="default" w:ascii="仿宋" w:hAnsi="仿宋" w:eastAsia="宋体" w:cs="仿宋"/>
          <w:sz w:val="24"/>
          <w:szCs w:val="24"/>
          <w:lang w:val="en-US" w:eastAsia="zh-CN"/>
        </w:rPr>
        <w:t>由于网络暴力证据主要涉及线上电子证据，易被篡改、易灭失，受害人难以凭借自身能力收集固定，往往只能通过证据保全和公证方式取证，而这两种方式程序繁琐</w:t>
      </w:r>
      <w:r>
        <w:rPr>
          <w:rFonts w:hint="eastAsia" w:ascii="仿宋" w:hAnsi="仿宋" w:eastAsia="宋体" w:cs="仿宋"/>
          <w:sz w:val="24"/>
          <w:szCs w:val="24"/>
          <w:lang w:val="en-US" w:eastAsia="zh-CN"/>
        </w:rPr>
        <w:t>、</w:t>
      </w:r>
      <w:r>
        <w:rPr>
          <w:rFonts w:hint="default" w:ascii="仿宋" w:hAnsi="仿宋" w:eastAsia="宋体" w:cs="仿宋"/>
          <w:sz w:val="24"/>
          <w:szCs w:val="24"/>
          <w:lang w:val="en-US" w:eastAsia="zh-CN"/>
        </w:rPr>
        <w:t>成本高。在粉头发女生被网暴一案中，受害人郑灵华的代理律师金晓斌称郑灵华至杭州市西湖公证处进行公证</w:t>
      </w:r>
      <w:r>
        <w:rPr>
          <w:rFonts w:hint="eastAsia" w:ascii="仿宋" w:hAnsi="仿宋" w:eastAsia="宋体" w:cs="仿宋"/>
          <w:sz w:val="24"/>
          <w:szCs w:val="24"/>
          <w:lang w:val="en-US" w:eastAsia="zh-CN"/>
        </w:rPr>
        <w:t>取证</w:t>
      </w:r>
      <w:r>
        <w:rPr>
          <w:rFonts w:hint="default" w:ascii="仿宋" w:hAnsi="仿宋" w:eastAsia="宋体" w:cs="仿宋"/>
          <w:sz w:val="24"/>
          <w:szCs w:val="24"/>
          <w:lang w:val="en-US" w:eastAsia="zh-CN"/>
        </w:rPr>
        <w:t>，花费4000元后已不足以负担律师费。相比之下，行为人只需一部手机、一个平台、一种恶意，就可以实施</w:t>
      </w:r>
      <w:r>
        <w:rPr>
          <w:rFonts w:hint="eastAsia" w:ascii="仿宋" w:hAnsi="仿宋" w:eastAsia="宋体" w:cs="仿宋"/>
          <w:sz w:val="24"/>
          <w:szCs w:val="24"/>
          <w:lang w:val="en-US" w:eastAsia="zh-CN"/>
        </w:rPr>
        <w:t>网暴行为</w:t>
      </w:r>
      <w:r>
        <w:rPr>
          <w:rFonts w:hint="default" w:ascii="仿宋" w:hAnsi="仿宋" w:eastAsia="宋体" w:cs="仿宋"/>
          <w:sz w:val="24"/>
          <w:szCs w:val="24"/>
          <w:lang w:val="en-US" w:eastAsia="zh-CN"/>
        </w:rPr>
        <w:t>。侵权成本与维权成本差距悬殊。</w:t>
      </w:r>
      <w:r>
        <w:rPr>
          <w:rFonts w:hint="eastAsia" w:ascii="仿宋" w:hAnsi="仿宋" w:eastAsia="宋体" w:cs="仿宋"/>
          <w:sz w:val="24"/>
          <w:szCs w:val="24"/>
          <w:lang w:val="en-US" w:eastAsia="zh-CN"/>
        </w:rPr>
        <w:t>除时间和经济成本外，</w:t>
      </w:r>
      <w:r>
        <w:rPr>
          <w:rFonts w:hint="default" w:ascii="仿宋" w:hAnsi="仿宋" w:eastAsia="宋体" w:cs="仿宋"/>
          <w:sz w:val="24"/>
          <w:szCs w:val="24"/>
          <w:lang w:val="en-US" w:eastAsia="zh-CN"/>
        </w:rPr>
        <w:t>在搜集证据的过程，面对大量的侮辱、谩骂等网络暴力言语极易给受害者带来二次伤害。</w:t>
      </w:r>
    </w:p>
    <w:p w14:paraId="0BAE97A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网络平台的事后责任难以落实</w:t>
      </w:r>
    </w:p>
    <w:p w14:paraId="2602DF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关于网络暴力侵权，《民法典》第1194条至1197条确立了网络平台的相关责任。但相关规则具有被动性，标准具有模糊性，不足以让网络平台据此很好地承担责任。</w:t>
      </w:r>
    </w:p>
    <w:p w14:paraId="2478DA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民法典》第1195条规定的“通知—删除”规则借鉴域外著作权法领域的“避风港”规则，在网络暴力侵权领域适用不畅。通常情况下，著作权领域的通知如果存在瑕疵，比如缺少权利人身份信息等就视为未通知。在网络暴力侵权领域，如果受害人提供明显的侵权信息，比如侵权者公布</w:t>
      </w:r>
      <w:r>
        <w:rPr>
          <w:rFonts w:hint="eastAsia" w:ascii="宋体" w:hAnsi="宋体" w:eastAsia="宋体" w:cs="宋体"/>
          <w:b w:val="0"/>
          <w:bCs w:val="0"/>
          <w:sz w:val="24"/>
          <w:szCs w:val="24"/>
          <w:lang w:val="en-US" w:eastAsia="zh-Hans"/>
        </w:rPr>
        <w:t>了</w:t>
      </w:r>
      <w:r>
        <w:rPr>
          <w:rFonts w:hint="eastAsia" w:ascii="宋体" w:hAnsi="宋体" w:eastAsia="宋体" w:cs="宋体"/>
          <w:b w:val="0"/>
          <w:bCs w:val="0"/>
          <w:sz w:val="24"/>
          <w:szCs w:val="24"/>
          <w:lang w:val="en-US" w:eastAsia="zh-CN"/>
        </w:rPr>
        <w:t>受害人家庭住址等隐私信息，但未提供侵权者充足的身份信息，此时网络服务提供者无视此瑕疵通知显然不合理。</w:t>
      </w:r>
      <w:r>
        <w:rPr>
          <w:rStyle w:val="7"/>
          <w:rFonts w:hint="eastAsia" w:ascii="宋体" w:hAnsi="宋体" w:eastAsia="宋体" w:cs="宋体"/>
          <w:b w:val="0"/>
          <w:bCs w:val="0"/>
          <w:sz w:val="24"/>
          <w:szCs w:val="24"/>
          <w:lang w:val="en-US" w:eastAsia="zh-CN"/>
        </w:rPr>
        <w:t>[</w:t>
      </w:r>
      <w:r>
        <w:rPr>
          <w:rStyle w:val="7"/>
          <w:rFonts w:hint="eastAsia" w:ascii="宋体" w:hAnsi="宋体" w:eastAsia="宋体" w:cs="宋体"/>
          <w:b w:val="0"/>
          <w:bCs w:val="0"/>
          <w:sz w:val="24"/>
          <w:szCs w:val="24"/>
          <w:lang w:val="en-US" w:eastAsia="zh-CN"/>
        </w:rPr>
        <w:footnoteReference w:id="11"/>
      </w:r>
      <w:r>
        <w:rPr>
          <w:rStyle w:val="7"/>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lang w:val="en-US" w:eastAsia="zh-CN"/>
        </w:rPr>
        <w:t>从《民法典》第1195条可得知，权利人通知网络服务提供者时，要提供构成侵权的初步证据。但群体中个体的言语危害力难以证明，权利人难以提供侵权的初步证据。并且涉及人格权的信息在真实性判断方面难度很大，要求网络服务提供者被动通知处理并不合适。</w:t>
      </w:r>
      <w:r>
        <w:rPr>
          <w:rStyle w:val="7"/>
          <w:rFonts w:hint="eastAsia" w:ascii="宋体" w:hAnsi="宋体" w:eastAsia="宋体" w:cs="宋体"/>
          <w:b w:val="0"/>
          <w:bCs w:val="0"/>
          <w:sz w:val="24"/>
          <w:szCs w:val="24"/>
          <w:lang w:val="en-US" w:eastAsia="zh-CN"/>
        </w:rPr>
        <w:t>[</w:t>
      </w:r>
      <w:r>
        <w:rPr>
          <w:rStyle w:val="7"/>
          <w:rFonts w:hint="eastAsia" w:ascii="宋体" w:hAnsi="宋体" w:eastAsia="宋体" w:cs="宋体"/>
          <w:b w:val="0"/>
          <w:bCs w:val="0"/>
          <w:sz w:val="24"/>
          <w:szCs w:val="24"/>
          <w:lang w:val="en-US" w:eastAsia="zh-CN"/>
        </w:rPr>
        <w:footnoteReference w:id="12"/>
      </w:r>
      <w:r>
        <w:rPr>
          <w:rStyle w:val="7"/>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lang w:val="en-US" w:eastAsia="zh-CN"/>
        </w:rPr>
        <w:t>此外，网络暴力侵权往往在短时间内形成，等到权利人发现并发出通知后，就算网络平台履行事后删除责任，损害也已经造成了。</w:t>
      </w:r>
    </w:p>
    <w:p w14:paraId="4B25B4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民法典》第1197条规定的“知道或者应当知道”标准模糊，难以适用。《民法典》第1197条规定了网络平台与网络用户的连带责任，适用该条规定的前提是网络平台知道或者应当知道网络用户利用其网络服务侵害他人民事权益。但“知道或者应当知道”的标准模糊，面对网络暴力场景的海量信息，网络平台往往能以“不知道”或“不应知道”为理由进行辩解，容易利用其所处优势地位逃避责任。</w:t>
      </w:r>
    </w:p>
    <w:p w14:paraId="35BC4D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综上，法律在形式上为网络平台设置了一定的责任，但这些规则标准模糊难以适用，其被动性也难以</w:t>
      </w:r>
      <w:r>
        <w:rPr>
          <w:rFonts w:hint="eastAsia" w:ascii="宋体" w:hAnsi="宋体" w:eastAsia="宋体" w:cs="宋体"/>
          <w:b w:val="0"/>
          <w:bCs w:val="0"/>
          <w:sz w:val="24"/>
          <w:szCs w:val="24"/>
          <w:lang w:val="en-US" w:eastAsia="zh-Hans"/>
        </w:rPr>
        <w:t>弥补</w:t>
      </w:r>
      <w:r>
        <w:rPr>
          <w:rFonts w:hint="eastAsia" w:ascii="宋体" w:hAnsi="宋体" w:eastAsia="宋体" w:cs="宋体"/>
          <w:b w:val="0"/>
          <w:bCs w:val="0"/>
          <w:sz w:val="24"/>
          <w:szCs w:val="24"/>
          <w:lang w:val="en-US" w:eastAsia="zh-CN"/>
        </w:rPr>
        <w:t>网络暴力所导致的损害。加之网络暴力事后治理存在的巨大难度，有必要探索网络平台对于网络暴力的事前防范义务。</w:t>
      </w:r>
    </w:p>
    <w:p w14:paraId="7B0487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p>
    <w:p w14:paraId="4C8F4A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default" w:ascii="宋体" w:hAnsi="宋体" w:eastAsia="宋体" w:cs="宋体"/>
          <w:b/>
          <w:bCs/>
          <w:sz w:val="24"/>
          <w:szCs w:val="24"/>
          <w:lang w:val="en-US" w:eastAsia="zh-CN"/>
        </w:rPr>
        <w:t>三、网络平台事</w:t>
      </w:r>
      <w:r>
        <w:rPr>
          <w:rFonts w:hint="eastAsia" w:ascii="宋体" w:hAnsi="宋体" w:eastAsia="宋体" w:cs="宋体"/>
          <w:b/>
          <w:bCs/>
          <w:sz w:val="24"/>
          <w:szCs w:val="24"/>
          <w:lang w:val="en-US" w:eastAsia="zh-CN"/>
        </w:rPr>
        <w:t>前</w:t>
      </w:r>
      <w:r>
        <w:rPr>
          <w:rFonts w:hint="default" w:ascii="宋体" w:hAnsi="宋体" w:eastAsia="宋体" w:cs="宋体"/>
          <w:b/>
          <w:bCs/>
          <w:sz w:val="24"/>
          <w:szCs w:val="24"/>
          <w:lang w:val="en-US" w:eastAsia="zh-CN"/>
        </w:rPr>
        <w:t>防范</w:t>
      </w:r>
      <w:r>
        <w:rPr>
          <w:rFonts w:hint="eastAsia" w:ascii="宋体" w:hAnsi="宋体" w:eastAsia="宋体" w:cs="宋体"/>
          <w:b/>
          <w:bCs/>
          <w:sz w:val="24"/>
          <w:szCs w:val="24"/>
          <w:lang w:val="en-US" w:eastAsia="zh-CN"/>
        </w:rPr>
        <w:t>网络暴力</w:t>
      </w:r>
      <w:r>
        <w:rPr>
          <w:rFonts w:hint="default" w:ascii="宋体" w:hAnsi="宋体" w:eastAsia="宋体" w:cs="宋体"/>
          <w:b/>
          <w:bCs/>
          <w:sz w:val="24"/>
          <w:szCs w:val="24"/>
          <w:lang w:val="en-US" w:eastAsia="zh-CN"/>
        </w:rPr>
        <w:t>的理论依据</w:t>
      </w:r>
    </w:p>
    <w:p w14:paraId="5643B9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p>
    <w:p w14:paraId="3338E7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发表网络暴力言论不在言论自由的范畴之内，影响到他人合法权益时理应受到约束与管控。作为承接政府监管权力的“私权力”主体——网络平台，有必要承担起网络暴力的事前防范义务。在算法技术发达、多元协同治理的背景下，网络平台具有履行这些义务的能力。</w:t>
      </w:r>
    </w:p>
    <w:p w14:paraId="3545ED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（一）网络暴力言论超出言论自由范畴</w:t>
      </w:r>
    </w:p>
    <w:p w14:paraId="0578B7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7"/>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网络言论自由是公民宪法权利在网络上的体现，但网络暴力言论已经超出了网络言论自由的范畴。网络平台为网络平台用户提供了发表言论的新途径，扩展了公民言论自由的内容。凡是自由，都应是受到限制的。因为极端的自由会导致不自由，当个人行为影响到他人利益时，就应该予以干涉制止。也就是说国家保护的是网络平台用户的正确言论，如果网络平台用户的言论损害到他人或公共利益，则超出了言论自由的边界，依法应予以制止。美国奥利弗·温德尔·霍姆斯大法官在申克诉美国案的裁判意见中写道：“在某些环境中，如果言论的发表具有制造出一种明显而即刻的危险的性质，就不应受宪法权利的保护。”这为是否超出言论自由范畴设立了“明显而即刻的危险”标准。</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3"/>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在此标准下可以判断出，侮辱谩骂等任何一个理性人都能感受到危害的网络暴力言论，超出了网络言论自由的边界。而对于其他不具有明显网络暴力色彩的言论，比如理性人并不认为有危害但可能因为传播发酵而产生不良影响的言论，则要结合其他标准判断是否超出网络言论自由的边界。毋庸置疑的是，超出言论自由范畴的网络暴力言论都应该受到管控。</w:t>
      </w:r>
    </w:p>
    <w:p w14:paraId="2586E3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仿宋" w:hAnsi="仿宋" w:eastAsia="仿宋" w:cs="仿宋"/>
          <w:b/>
          <w:bCs/>
          <w:sz w:val="24"/>
          <w:szCs w:val="24"/>
          <w:lang w:val="en-US" w:eastAsia="zh-CN"/>
        </w:rPr>
      </w:pPr>
      <w:r>
        <w:rPr>
          <w:rFonts w:hint="eastAsia" w:ascii="宋体" w:hAnsi="宋体" w:eastAsia="宋体" w:cs="宋体"/>
          <w:b/>
          <w:bCs/>
          <w:sz w:val="24"/>
          <w:szCs w:val="24"/>
          <w:lang w:val="en-US" w:eastAsia="zh-CN"/>
        </w:rPr>
        <w:t>（二）网络平台事先防范义务的合理性</w:t>
      </w:r>
    </w:p>
    <w:p w14:paraId="53213F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网络平台是承接政府监管义务的私权力主体。政府是传统的监管主体，但政府治理网络暴力具有局限性。受人力、技术等条件约束，政府难以管控海量的网络用户和海量的网络暴力信息。而网络平台是网络社会的关键节点，它作为一个枢纽将其他节点连接在一起，创设出强联结、再中心化的社会组织方式，构建了网络社会泛在链接、信息汇聚的公共设施。</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4"/>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网络用户在网络中的言论依托平台，网络暴力的实施需要以登录抖音、微博、小红书等网络平台账号为前提，网络平台的信息聚集效应增加了网络暴力发生的风险。从某种方面来说，没有网络平台就没有网络暴力。“解铃还须系铃人”，阻断网络暴力需要从网络平台这个入口切入，网络平台有必要、有能力履行网络暴力治理义务。具有相应能力的网络平台在事实上承接了政府的部分治理能力。</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5"/>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政府通过立法将网络暴力防控、不良信息处置等义务赋予平台，构建了“公权力—平台私权力—普通用户”三元关系，网络平台实际上成为了“私权力”主体。网络暴力治理义务的部分转移</w:t>
      </w:r>
      <w:r>
        <w:rPr>
          <w:rFonts w:hint="eastAsia" w:ascii="宋体" w:hAnsi="宋体" w:eastAsia="宋体" w:cs="宋体"/>
          <w:sz w:val="24"/>
          <w:szCs w:val="24"/>
          <w:lang w:val="en-US" w:eastAsia="zh-Hans"/>
        </w:rPr>
        <w:t>是</w:t>
      </w:r>
      <w:r>
        <w:rPr>
          <w:rFonts w:hint="eastAsia" w:ascii="宋体" w:hAnsi="宋体" w:eastAsia="宋体" w:cs="宋体"/>
          <w:sz w:val="24"/>
          <w:szCs w:val="24"/>
          <w:lang w:val="en-US" w:eastAsia="zh-CN"/>
        </w:rPr>
        <w:t>公私合作治理的权责分流，而不是政府监管权力的全权出让。</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6"/>
      </w:r>
      <w:r>
        <w:rPr>
          <w:rStyle w:val="7"/>
          <w:rFonts w:hint="eastAsia" w:ascii="宋体" w:hAnsi="宋体" w:eastAsia="宋体" w:cs="宋体"/>
          <w:sz w:val="24"/>
          <w:szCs w:val="24"/>
          <w:lang w:val="en-US" w:eastAsia="zh-CN"/>
        </w:rPr>
        <w:t>]</w:t>
      </w:r>
    </w:p>
    <w:p w14:paraId="2A168F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网络平台给用户提供了更加自由的信息交互空间，重构网络空间的交往模式，并且其本身并非完全中立，它作为大众媒介担当着“新型守门人”的角色。</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7"/>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所谓“守门人”意味着某种控制，比如掌握着信息、商品和服务的流通。</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8"/>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网络平台通过算法获取用户的个人兴趣爱好等信息，实现对用户的精准推送，将用户固定在各自的“信息茧房”中，在很大程度上决定了用户在网络上能看到的内容。同时，也主导着网络流量的分配。在“流量为王”的时代，流量可以通过做广告等途径为平台带来收益。因此基于权利义务对等原则，掌握相应“权利”，能够获得巨大利润的平台，应该承担起网络暴力的治理义务。</w:t>
      </w:r>
    </w:p>
    <w:p w14:paraId="3B8FA3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除了比较明显的由单独恶性行为引发的网络暴力，有很大一部分网络暴力是由于海量微不足道的行为而产生。正像雪山的崩塌是由每一片雪花共同导致，但具体是哪一片雪花无从证明一样。难以将个体从集体行为中剥离出来单独评价。与雪山崩塌涉及气候等因素一样复杂的是，网络暴力的产生除了个体的行为，还涉及机器人水军和平台算法等等。在这些情况下，难以证明个体行为和危害结果之间的因果关系，难以归责处罚。相对于网络暴力中人数众多、难以归责的境况，网络平台的责任更加明确，义务边界更加清晰。因此关注网络平台的义务是治理网络暴力的必要途径。</w:t>
      </w:r>
    </w:p>
    <w:p w14:paraId="3C4929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（三）网络平台事</w:t>
      </w:r>
      <w:r>
        <w:rPr>
          <w:rFonts w:hint="eastAsia" w:ascii="宋体" w:hAnsi="宋体" w:eastAsia="宋体" w:cs="宋体"/>
          <w:b/>
          <w:bCs/>
          <w:sz w:val="24"/>
          <w:szCs w:val="24"/>
          <w:lang w:val="en-US" w:eastAsia="zh-Hans"/>
        </w:rPr>
        <w:t>前</w:t>
      </w:r>
      <w:r>
        <w:rPr>
          <w:rFonts w:hint="eastAsia" w:ascii="宋体" w:hAnsi="宋体" w:eastAsia="宋体" w:cs="宋体"/>
          <w:b/>
          <w:bCs/>
          <w:sz w:val="24"/>
          <w:szCs w:val="24"/>
          <w:lang w:val="en-US" w:eastAsia="zh-CN"/>
        </w:rPr>
        <w:t>防范义务的可行性</w:t>
      </w:r>
    </w:p>
    <w:p w14:paraId="2D5982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网络平台在事前防范网络暴力发生是治理网络暴力的可行措施。首先，人工智能、大数据等信息技术的发展，为网络平台识别、处置网络暴力信息提供了坚实的技术基础。</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19"/>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网络平台可以利用深度学习与自然语言处理技术分析已有的含网络暴力内容的文本、图片、视频等信息，建立网络暴力信息识别模型。并且可以通过更新网络暴力语料库不断优化模型</w:t>
      </w:r>
      <w:r>
        <w:rPr>
          <w:rFonts w:hint="eastAsia" w:ascii="宋体" w:hAnsi="宋体" w:eastAsia="宋体" w:cs="宋体"/>
          <w:sz w:val="24"/>
          <w:szCs w:val="24"/>
          <w:lang w:val="en-US" w:eastAsia="zh-Hans"/>
        </w:rPr>
        <w:t>的</w:t>
      </w:r>
      <w:r>
        <w:rPr>
          <w:rFonts w:hint="eastAsia" w:ascii="宋体" w:hAnsi="宋体" w:eastAsia="宋体" w:cs="宋体"/>
          <w:sz w:val="24"/>
          <w:szCs w:val="24"/>
          <w:lang w:val="en-US" w:eastAsia="zh-CN"/>
        </w:rPr>
        <w:t>识别能力。通过网络暴力信息识别模型对网络平台发布内容的监测，可以筛查含有侮辱性等内容的网络暴力信息，然后依托风险预警模型对这些内容进行提前预警。同时，借助异常流量监测技术，网络平台可以识别潜在的网暴风险账号，从而采取限流、禁言等干预措施。</w:t>
      </w:r>
    </w:p>
    <w:p w14:paraId="6D1A15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其次，各大平台逐步落实事前防范义务，并在探索中获取了一些可复制的经验。这有助于平台之间相互借鉴参考，从而更好地落实其对网络暴力的事前防范义务。与此同时，技术成本的下降使网络平台落实网络暴力事前防范义务的成本大大降低。除头部平台外，中小平台也可以借助成熟的技术服务，以较低成本接入内容审核与风险预警系统，提升治理能力。各平台在各自范围内履行事前防范义务，全行业共同参与网络暴力治理，有助于统一治理格局的形成。</w:t>
      </w:r>
    </w:p>
    <w:p w14:paraId="30A160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最后，网络暴力治理是政府、平台、社会、用户共同参与的系统工程，政府可以制定行业标准、提供技术指导；社会可以通过开展研究为平台提供支持，也可以通过监督促使平台履行义务；用户可以举报网暴信息、反馈信息技术漏洞。这些都有助于网络平台对网络暴力事前防范义务的落实。</w:t>
      </w:r>
    </w:p>
    <w:p w14:paraId="541596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14:paraId="4DAF0DB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网络平台事前防范义务的具体落实</w:t>
      </w:r>
    </w:p>
    <w:p w14:paraId="1950CC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14:paraId="20A1E7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网络平台的事前防范义务并非没有法律规定，《网络暴力信息治理规定》等法律法规为网络平台的事前防范义务提供了依据。比如《网络信息内容生态治理规定》第９条第１款从健全用户信息到处置不良信息规定了网络服务平台应当建立网络信息内容生态治理机制；</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0"/>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《跟帖评论服务管理规定》第４条第１项、第３项、第５项、第７项分别规定了“实名制度”、“网络平台的审查制度”、“实时巡查制度”等。</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1"/>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但这些规定大多为原则性规定，平台难以落实。据此，笔者想</w:t>
      </w:r>
      <w:r>
        <w:rPr>
          <w:rFonts w:hint="eastAsia" w:ascii="宋体" w:hAnsi="宋体" w:eastAsia="宋体" w:cs="宋体"/>
          <w:sz w:val="24"/>
          <w:szCs w:val="24"/>
          <w:highlight w:val="none"/>
          <w:lang w:val="en-US" w:eastAsia="zh-CN"/>
        </w:rPr>
        <w:t>从实名登记、网络暴力检测模型建立、不良信息提醒、违法信息屏蔽、实时巡查、申诉机制建立这几个方面入手，为网络平台事前防范义务的具体履行提出一些建议。</w:t>
      </w:r>
    </w:p>
    <w:p w14:paraId="3F4361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（一）实名登记义务</w:t>
      </w:r>
    </w:p>
    <w:p w14:paraId="0957DD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网络平台履行对用户的实名登记义务，可以减轻网络暴力发生的潜在风险，也有助于对实施网络暴力行为的用户进行追踪。网络暴力发生的一个重要原因是网络的匿名性加剧了网络暴力行为人的侥幸心理，让行为人以为自己戴上“面具”可以在网络平台上肆意发言。网络平台对用户的实名登记要求可以减轻匿名性带来的不利影响，消磨行为人的侥幸心理，让行为人不敢实施网络暴力行为。结合《民法典》第1195条和1196条的第2款可以明确，网络平台满足“对使用网络用户的真实身份信息进行登记”或“禁止向未实名登记的用户提供网络服务”任何一项均可视为完成实名登记义务。</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2"/>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前一项规定有助于减少网络平台环境的匿名性和锁定网络暴力案件中的具体侵权人，后一项能够从根本上拦截网络暴力侵权信息。当前抖音、小红书等各大网络平台都已经落实了对用户的实名登记义务，如果用户未按照要求进行认证，则不能发表评论或任何其他内容，甚至不能浏览平台上的内容。但各平台对于用户身份的审查主要包括身份证审查和手机号审查这两种方式，手机号审查是更为常见的方式。第一种方式要求用户填写姓名及其身份证号或直接上传身份证照片；第二种方式要求用户绑定手机号，根据手机号匹配到本人。这</w:t>
      </w:r>
      <w:r>
        <w:rPr>
          <w:rFonts w:hint="eastAsia" w:ascii="宋体" w:hAnsi="宋体" w:eastAsia="宋体" w:cs="宋体"/>
          <w:sz w:val="24"/>
          <w:szCs w:val="24"/>
          <w:lang w:val="en-US" w:eastAsia="zh-Hans"/>
        </w:rPr>
        <w:t>两种</w:t>
      </w:r>
      <w:r>
        <w:rPr>
          <w:rFonts w:hint="eastAsia" w:ascii="宋体" w:hAnsi="宋体" w:eastAsia="宋体" w:cs="宋体"/>
          <w:sz w:val="24"/>
          <w:szCs w:val="24"/>
          <w:lang w:val="en-US" w:eastAsia="zh-CN"/>
        </w:rPr>
        <w:t>实名认证方式容易被冒用，因此可以结合人脸识别等生物识别模式实现精准化认证。若网络平台违反实名登记义务应承担相应的补充责任，即能确定具体侵权人的由侵权人担责，不能确定具体侵权人时由平台向受害人赔偿。若在承担责任后能确定具体侵权人再由平台向其追偿。</w:t>
      </w:r>
    </w:p>
    <w:p w14:paraId="6115B1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（二）网络暴力检测模型建立与信息分级处理</w:t>
      </w:r>
    </w:p>
    <w:p w14:paraId="700762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网络平台可以借助算法分析已有网络暴力信息并提取其中的</w:t>
      </w:r>
      <w:r>
        <w:rPr>
          <w:rFonts w:hint="eastAsia" w:ascii="宋体" w:hAnsi="宋体" w:eastAsia="宋体" w:cs="宋体"/>
          <w:sz w:val="24"/>
          <w:szCs w:val="24"/>
          <w:lang w:val="en-US" w:eastAsia="zh-Hans"/>
        </w:rPr>
        <w:t>语料</w:t>
      </w:r>
      <w:r>
        <w:rPr>
          <w:rFonts w:hint="eastAsia" w:ascii="宋体" w:hAnsi="宋体" w:eastAsia="宋体" w:cs="宋体"/>
          <w:sz w:val="24"/>
          <w:szCs w:val="24"/>
          <w:lang w:val="en-US" w:eastAsia="zh-CN"/>
        </w:rPr>
        <w:t>特征，建立网络暴力检测模型，通过自然语言处理和机器学习算法，对未发布的含有网络暴力内容的文本、视频、图像等分级识别，审查过滤网络暴力信息。以Rethink为例，它可以实时检测输入的内容，对可能构成网络暴力的信息发布“重新思考”的提示。据相关研究，算法的提示将青少年发布攻击性信息的意愿从71%降到了4%。</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3"/>
      </w:r>
      <w:r>
        <w:rPr>
          <w:rStyle w:val="7"/>
          <w:rFonts w:hint="eastAsia" w:ascii="宋体" w:hAnsi="宋体" w:eastAsia="宋体" w:cs="宋体"/>
          <w:sz w:val="24"/>
          <w:szCs w:val="24"/>
          <w:lang w:val="en-US" w:eastAsia="zh-CN"/>
        </w:rPr>
        <w:t>]</w:t>
      </w:r>
      <w:r>
        <w:rPr>
          <w:rFonts w:hint="eastAsia" w:ascii="宋体" w:hAnsi="宋体" w:eastAsia="宋体" w:cs="宋体"/>
          <w:sz w:val="24"/>
          <w:szCs w:val="24"/>
          <w:highlight w:val="none"/>
          <w:lang w:val="en-US" w:eastAsia="zh-CN"/>
        </w:rPr>
        <w:t>由此可知，算法虽在某种程度上催化了网络暴力的产生，亦能作为预防者从源头上抑制网络暴力行为。</w:t>
      </w:r>
      <w:r>
        <w:rPr>
          <w:rFonts w:hint="eastAsia" w:ascii="宋体" w:hAnsi="宋体" w:eastAsia="宋体" w:cs="宋体"/>
          <w:sz w:val="24"/>
          <w:szCs w:val="24"/>
          <w:lang w:val="en-US" w:eastAsia="zh-CN"/>
        </w:rPr>
        <w:t>网络平台借助智能算法，采用过滤系统、甄别系统等对网络暴力信息进行过滤和拦截后，</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4"/>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可以对含有不同程度的网络暴力信息进行分级处理。对含有轻度暴力的信息发布提示，引导网络平台用户重新进行理性思考；对含有中度网络暴力的内容采取延时展示和人工复核的方式，以求精准干预和可申诉的效果；对恶意谣言等重度暴力信息则采取限制发布、对账号限流等措施，防止网络暴力的发生。</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5"/>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若网络平台违反这一识别处置义务可以让其承担相应的补充责任。并且这一补充责任不因“避风港规则”而免除，因为平台在审核前提下履行的处置义务发生在内容发布之前，权利人无法发现这一侵权行为，就更不必说提供构成侵权的证据及个人真实身份信息以进行通知了。</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6"/>
      </w:r>
      <w:r>
        <w:rPr>
          <w:rStyle w:val="7"/>
          <w:rFonts w:hint="eastAsia" w:ascii="宋体" w:hAnsi="宋体" w:eastAsia="宋体" w:cs="宋体"/>
          <w:sz w:val="24"/>
          <w:szCs w:val="24"/>
          <w:lang w:val="en-US" w:eastAsia="zh-CN"/>
        </w:rPr>
        <w:t>]</w:t>
      </w:r>
    </w:p>
    <w:p w14:paraId="16DC90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（三）实时巡查与违法信息屏蔽义务</w:t>
      </w:r>
    </w:p>
    <w:p w14:paraId="1C4B45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现有技术不能过滤到所有网暴信息内容，对于网络平台履行审核义务时未过滤、网络用户发布成功的内容，网络平台可以履行实时巡查义务，对具有侵权属性的网络暴力内容实施监督并及时处置，加强对本平台的信息治理。即网络平台要对涉及网暴可能构成侵权的内容进行实时巡查。</w:t>
      </w:r>
      <w:r>
        <w:rPr>
          <w:rStyle w:val="7"/>
          <w:rFonts w:hint="eastAsia" w:ascii="宋体" w:hAnsi="宋体" w:eastAsia="宋体" w:cs="宋体"/>
          <w:sz w:val="24"/>
          <w:szCs w:val="24"/>
          <w:lang w:val="en-US" w:eastAsia="zh-CN"/>
        </w:rPr>
        <w:t>[</w:t>
      </w:r>
      <w:r>
        <w:rPr>
          <w:rStyle w:val="7"/>
          <w:rFonts w:hint="eastAsia" w:ascii="宋体" w:hAnsi="宋体" w:eastAsia="宋体" w:cs="宋体"/>
          <w:sz w:val="24"/>
          <w:szCs w:val="24"/>
          <w:lang w:val="en-US" w:eastAsia="zh-CN"/>
        </w:rPr>
        <w:footnoteReference w:id="27"/>
      </w:r>
      <w:r>
        <w:rPr>
          <w:rStyle w:val="7"/>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t>及时利用算法限流以防止更多网络用户看到</w:t>
      </w:r>
      <w:r>
        <w:rPr>
          <w:rFonts w:hint="eastAsia" w:ascii="宋体" w:hAnsi="宋体" w:eastAsia="宋体" w:cs="宋体"/>
          <w:sz w:val="24"/>
          <w:szCs w:val="24"/>
          <w:lang w:val="en-US" w:eastAsia="zh-Hans"/>
        </w:rPr>
        <w:t>相关</w:t>
      </w:r>
      <w:r>
        <w:rPr>
          <w:rFonts w:hint="eastAsia" w:ascii="宋体" w:hAnsi="宋体" w:eastAsia="宋体" w:cs="宋体"/>
          <w:sz w:val="24"/>
          <w:szCs w:val="24"/>
          <w:lang w:val="en-US" w:eastAsia="zh-CN"/>
        </w:rPr>
        <w:t>内容；向内容发布者发出提示信息，告知其可能带来的法律风险并督促其及时核实并自行采取相应措施；同时在该内容的评论区发布理性评论或澄清事实以控制不良舆论的产生。新浪微博在评论区设置“评论罗伯特”，用社交机器人引导舆情，通过生成良性信息抵抗具有恶意的评论信息可以为此提供良好借鉴。</w:t>
      </w:r>
    </w:p>
    <w:p w14:paraId="5CB26B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根据“红旗规则”，当网络用户在平台上发布的信息侵权性质明显，任何一个理性人都能发现时，平台应履行主动删除或屏蔽的义务。据此，网络平台对于明显含有网络暴力内容的信息应主动删除或屏蔽。对于</w:t>
      </w:r>
      <w:r>
        <w:rPr>
          <w:rFonts w:hint="eastAsia" w:ascii="宋体" w:hAnsi="宋体" w:eastAsia="宋体" w:cs="宋体"/>
          <w:sz w:val="24"/>
          <w:szCs w:val="24"/>
          <w:lang w:val="en-US" w:eastAsia="zh-Hans"/>
        </w:rPr>
        <w:t>已发表</w:t>
      </w:r>
      <w:r>
        <w:rPr>
          <w:rFonts w:hint="eastAsia" w:ascii="宋体" w:hAnsi="宋体" w:eastAsia="宋体" w:cs="宋体"/>
          <w:sz w:val="24"/>
          <w:szCs w:val="24"/>
          <w:lang w:val="en-US" w:eastAsia="zh-CN"/>
        </w:rPr>
        <w:t>信息的处理涉及网络平台对违法内容的处置义务，这一义务实际是对“通知—删除”规则的进一步发展和扩大。在粉头发女生被网暴离世等案件中，网络平台最终都采取了删除措施，但如果网络平台响应的更及时或许能够避免更多悲剧结果的发生。因此为使这一义务发挥实质作用、最大程度避免网络暴力的发生，还可以设置网络平台采取删除措施的具体标准。比如对于明显含有网络暴力的信息，如果点赞量或转发量达到某个数值，平台应直接删除。此外，网络平台了解某一项侵权事实后，后续可以继续对相关侵权主体、客体、内容进行审查。对于反复实施网暴的用户应将其拉入“黑名单”，进行封号等处罚。</w:t>
      </w:r>
    </w:p>
    <w:p w14:paraId="1B6B74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（四）申诉机制的建立</w:t>
      </w:r>
    </w:p>
    <w:p w14:paraId="2CF597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宋体" w:hAnsi="宋体" w:eastAsia="宋体" w:cs="宋体"/>
          <w:sz w:val="24"/>
          <w:szCs w:val="24"/>
          <w:lang w:val="en-US" w:eastAsia="zh-CN"/>
        </w:rPr>
        <w:t>为在预防网络暴力的同时维护网络用户的言论自由利益，网络平台应审慎履行自己的事前防范义务。对于算法无法识别的、是否达到网络暴力程度不明确的网络信息，平台不应直接采取删除或屏蔽措施，而应采取人工的方式对相关内容进行审核。同时，应设置申诉机制，为受到平台监管的网络用户提供救济机制。如果复核发现网络用户发布的信息实际不涉及网络暴力，应解除对该信息的管制，并对用户作出解释说明、进行合理补偿。以小红书平台为例，如果用户发布的内容含有网络暴力等违反平台管理规定的信息，平台会封闭该内容不对外展示，向用户说明其内容不能发布的原因（比如侵权等等），并为用户提供申诉入口。对于用户申诉、平台复核发现确实不涉及侵权的内容，网络平台会恢复展示，并补偿给该用户流量券，让用户恢复“发布内容被更多用户看到的权利”。</w:t>
      </w:r>
    </w:p>
    <w:p w14:paraId="62887B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14:paraId="1F05E9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仿宋" w:hAnsi="仿宋" w:eastAsia="仿宋" w:cs="仿宋"/>
          <w:b/>
          <w:bCs/>
          <w:sz w:val="24"/>
          <w:szCs w:val="24"/>
          <w:lang w:val="en-US" w:eastAsia="zh-CN"/>
        </w:rPr>
      </w:pPr>
      <w:r>
        <w:rPr>
          <w:rFonts w:hint="eastAsia" w:ascii="宋体" w:hAnsi="宋体" w:eastAsia="宋体" w:cs="宋体"/>
          <w:b/>
          <w:bCs/>
          <w:sz w:val="24"/>
          <w:szCs w:val="24"/>
          <w:lang w:val="en-US" w:eastAsia="zh-CN"/>
        </w:rPr>
        <w:t>五、结论</w:t>
      </w:r>
    </w:p>
    <w:p w14:paraId="71C286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仿宋" w:hAnsi="仿宋" w:eastAsia="仿宋" w:cs="仿宋"/>
          <w:b/>
          <w:bCs/>
          <w:sz w:val="24"/>
          <w:szCs w:val="24"/>
          <w:lang w:val="en-US" w:eastAsia="zh-CN"/>
        </w:rPr>
      </w:pPr>
    </w:p>
    <w:p w14:paraId="18E4E0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网络暴力侵害他人的人格尊严、隐私权、名誉权等合法权益，甚至影响他人的生命权。网络暴力的产生受信息传播和算法影响具有复杂性，网络暴力侵权难以认定，受网络暴力侵害的权益不能得到有效救济。网络暴力事后治理存在重重困境，强调网络平台对网络暴力的事前防范义务，符合法律规定、网络技术和传播学原理，是一种相对合理的预防网络暴力侵权的方案。在算法等技术的加持下，网络平台更有能力履行这些义务。网络平台的事前防范义务具体可以从实名登记、网络暴力检测模型建立、不良信息提醒、违法信息屏蔽、实时巡查、申诉机制建立这几个方面落实。这些义务并非一味加重网络平台责任，而是多种利益诉求间的平衡。然而，网络暴力案件中的权益保护是一项复杂议题，不仅需要多方协作，也需要新的治理思路。本文为网络暴力治理提出了一些建议，期冀社会各界持续关注，推动打造健康的网络生态环境。</w:t>
      </w:r>
    </w:p>
    <w:p w14:paraId="20702CE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14:paraId="648003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The Preemptive Prevention Obligation of Online Platforms Against Cyberbullying</w:t>
      </w:r>
    </w:p>
    <w:p w14:paraId="3AAA1C7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lang w:val="en-US" w:eastAsia="zh-CN"/>
        </w:rPr>
      </w:pPr>
    </w:p>
    <w:p w14:paraId="3A76D8B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Abstract:</w:t>
      </w:r>
      <w:r>
        <w:rPr>
          <w:rFonts w:hint="default" w:ascii="Times New Roman" w:hAnsi="Times New Roman" w:eastAsia="宋体" w:cs="Times New Roman"/>
          <w:b w:val="0"/>
          <w:bCs w:val="0"/>
          <w:sz w:val="24"/>
          <w:szCs w:val="24"/>
          <w:lang w:val="en-US" w:eastAsia="zh-CN"/>
        </w:rPr>
        <w:t xml:space="preserve"> Online platforms provide users with extensive space for expressing opinions, yet also create potential risks for cyberbullying and infringement. Cyberbullying is characterized by rapid dissemination, strong group aggregation, and irreversible consequences, making traditional post-incident remedies inadequate for protecting victims 'legitimate rights. Proactive prevention proves more effective in addressing cyberbullying and safeguarding victims' interests. As entities responsible for government oversight, online platforms have essentially become private actors capable of preventing cyberbullying through algorithmic technologies. While existing laws and regulations establish legal frameworks for such preventive obligations, they often remain general in nature and difficult to implement. This paper proposes actionable recommendations for fulfilling these obligations through measures including real-name registration, development of cyberbullying detection models, notification systems for harmful content, blocking of illegal information, real-time monitoring, and establishment of complaint mechanisms.</w:t>
      </w:r>
    </w:p>
    <w:p w14:paraId="761563C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Keywords:</w:t>
      </w:r>
      <w:r>
        <w:rPr>
          <w:rFonts w:hint="default" w:ascii="Times New Roman" w:hAnsi="Times New Roman" w:eastAsia="宋体" w:cs="Times New Roman"/>
          <w:b w:val="0"/>
          <w:bCs w:val="0"/>
          <w:sz w:val="24"/>
          <w:szCs w:val="24"/>
          <w:lang w:val="en-US" w:eastAsia="zh-CN"/>
        </w:rPr>
        <w:t xml:space="preserve"> cyberbullying; platform governance; algorithms; information dissemination; </w:t>
      </w:r>
      <w:r>
        <w:rPr>
          <w:rFonts w:hint="eastAsia" w:ascii="Times New Roman" w:hAnsi="Times New Roman" w:eastAsia="宋体" w:cs="Times New Roman"/>
          <w:b w:val="0"/>
          <w:bCs w:val="0"/>
          <w:sz w:val="24"/>
          <w:szCs w:val="24"/>
          <w:lang w:val="en-US" w:eastAsia="zh-CN"/>
        </w:rPr>
        <w:t>tort</w:t>
      </w:r>
      <w:r>
        <w:rPr>
          <w:rFonts w:hint="default" w:ascii="Times New Roman" w:hAnsi="Times New Roman" w:eastAsia="宋体" w:cs="Times New Roman"/>
          <w:b w:val="0"/>
          <w:bCs w:val="0"/>
          <w:sz w:val="24"/>
          <w:szCs w:val="24"/>
          <w:lang w:val="en-US" w:eastAsia="zh-CN"/>
        </w:rPr>
        <w:t xml:space="preserve"> infringement</w:t>
      </w:r>
    </w:p>
    <w:sectPr>
      <w:footnotePr>
        <w:numFmt w:val="decimal"/>
      </w:footnotePr>
      <w:endnotePr>
        <w:numFmt w:val="decimal"/>
      </w:end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56">
    <w:p>
      <w:r>
        <w:separator/>
      </w:r>
    </w:p>
  </w:footnote>
  <w:footnote w:type="continuationSeparator" w:id="57">
    <w:p>
      <w:r>
        <w:continuationSeparator/>
      </w:r>
    </w:p>
  </w:footnote>
  <w:footnote w:id="0">
    <w:p w14:paraId="7237358C">
      <w:pPr>
        <w:pStyle w:val="3"/>
        <w:snapToGrid w:val="0"/>
        <w:rPr>
          <w:rStyle w:val="7"/>
          <w:rFonts w:hint="default" w:eastAsiaTheme="minorEastAsia"/>
          <w:lang w:val="en-US" w:eastAsia="zh-CN"/>
        </w:rPr>
      </w:pPr>
      <w:r>
        <w:rPr>
          <w:rFonts w:hint="eastAsia"/>
          <w:lang w:val="en-US" w:eastAsia="zh-CN"/>
        </w:rPr>
        <w:t>任梦茹、女、上海大学法学院、研究生、上海市静安区大宁路街道广延路140号上海大学、200072、13781317332</w:t>
      </w:r>
      <w:r>
        <w:rPr>
          <w:rFonts w:hint="eastAsia"/>
          <w:lang w:eastAsia="zh-CN"/>
        </w:rPr>
        <w:t>、</w:t>
      </w:r>
      <w:r>
        <w:rPr>
          <w:rFonts w:hint="eastAsia"/>
          <w:lang w:val="en-US" w:eastAsia="zh-CN"/>
        </w:rPr>
        <w:t>2465820192@qq.com</w:t>
      </w:r>
    </w:p>
    <w:p w14:paraId="5CB04EB0">
      <w:pPr>
        <w:pStyle w:val="3"/>
        <w:snapToGrid w:val="0"/>
        <w:rPr>
          <w:rFonts w:hint="eastAsia"/>
        </w:rPr>
      </w:pPr>
      <w:r>
        <w:rPr>
          <w:rStyle w:val="7"/>
        </w:rPr>
        <w:t>[</w:t>
      </w:r>
      <w:r>
        <w:rPr>
          <w:rStyle w:val="7"/>
        </w:rPr>
        <w:footnoteRef/>
      </w:r>
      <w:r>
        <w:rPr>
          <w:rStyle w:val="7"/>
        </w:rPr>
        <w:t>]</w:t>
      </w:r>
      <w:r>
        <w:rPr>
          <w:rFonts w:hint="eastAsia"/>
        </w:rPr>
        <w:t>本刊编辑部：《第57次〈中国互联网络发展状况统计报告〉在京发布》，《中国教工》2026年第2期。</w:t>
      </w:r>
    </w:p>
  </w:footnote>
  <w:footnote w:id="1">
    <w:p w14:paraId="72B829FE">
      <w:pPr>
        <w:pStyle w:val="3"/>
        <w:snapToGrid w:val="0"/>
      </w:pPr>
      <w:r>
        <w:rPr>
          <w:rStyle w:val="7"/>
        </w:rPr>
        <w:t>[</w:t>
      </w:r>
      <w:r>
        <w:rPr>
          <w:rStyle w:val="7"/>
        </w:rPr>
        <w:footnoteRef/>
      </w:r>
      <w:r>
        <w:rPr>
          <w:rStyle w:val="7"/>
        </w:rPr>
        <w:t>]</w:t>
      </w:r>
      <w:r>
        <w:t xml:space="preserve"> </w:t>
      </w:r>
      <w:r>
        <w:rPr>
          <w:rFonts w:hint="eastAsia"/>
        </w:rPr>
        <w:t>Available at https://mp.weixin.qq.com/s/GSKtmM0BGFEkoWxHZLBw9g.</w:t>
      </w:r>
    </w:p>
  </w:footnote>
  <w:footnote w:id="2">
    <w:p w14:paraId="11D7D3E6">
      <w:pPr>
        <w:pStyle w:val="3"/>
        <w:snapToGrid w:val="0"/>
      </w:pPr>
      <w:r>
        <w:rPr>
          <w:rStyle w:val="7"/>
        </w:rPr>
        <w:t>[</w:t>
      </w:r>
      <w:r>
        <w:rPr>
          <w:rStyle w:val="7"/>
        </w:rPr>
        <w:footnoteRef/>
      </w:r>
      <w:r>
        <w:rPr>
          <w:rStyle w:val="7"/>
        </w:rPr>
        <w:t>]</w:t>
      </w:r>
      <w:r>
        <w:t xml:space="preserve"> </w:t>
      </w:r>
      <w:r>
        <w:rPr>
          <w:rFonts w:hint="eastAsia"/>
        </w:rPr>
        <w:t>陈代波：《关于网络暴力概念的辨析》，《湖北社会科学》2013年第6期。</w:t>
      </w:r>
    </w:p>
  </w:footnote>
  <w:footnote w:id="3">
    <w:p w14:paraId="4592C708">
      <w:pPr>
        <w:pStyle w:val="3"/>
        <w:snapToGrid w:val="0"/>
      </w:pPr>
      <w:r>
        <w:rPr>
          <w:rStyle w:val="7"/>
        </w:rPr>
        <w:t>[</w:t>
      </w:r>
      <w:r>
        <w:rPr>
          <w:rStyle w:val="7"/>
        </w:rPr>
        <w:footnoteRef/>
      </w:r>
      <w:r>
        <w:rPr>
          <w:rStyle w:val="7"/>
        </w:rPr>
        <w:t>]</w:t>
      </w:r>
      <w:r>
        <w:t xml:space="preserve"> </w:t>
      </w:r>
      <w:r>
        <w:rPr>
          <w:rFonts w:hint="eastAsia"/>
        </w:rPr>
        <w:t>敬力嘉：《网络暴力公私合作治理模式的反思与调试》，《江汉论坛》2023年第5期。</w:t>
      </w:r>
    </w:p>
  </w:footnote>
  <w:footnote w:id="4">
    <w:p w14:paraId="3D56F33A">
      <w:pPr>
        <w:pStyle w:val="3"/>
        <w:snapToGrid w:val="0"/>
        <w:rPr>
          <w:rFonts w:hint="eastAsia"/>
        </w:rPr>
      </w:pPr>
      <w:r>
        <w:rPr>
          <w:rStyle w:val="7"/>
        </w:rPr>
        <w:t>[</w:t>
      </w:r>
      <w:r>
        <w:rPr>
          <w:rStyle w:val="7"/>
        </w:rPr>
        <w:footnoteRef/>
      </w:r>
      <w:r>
        <w:rPr>
          <w:rStyle w:val="7"/>
        </w:rPr>
        <w:t>]</w:t>
      </w:r>
      <w:r>
        <w:t xml:space="preserve"> </w:t>
      </w:r>
      <w:r>
        <w:rPr>
          <w:rFonts w:hint="eastAsia"/>
        </w:rPr>
        <w:t>喻海松：《网络暴力的多维共治——以刑事法为侧重的展开》，《江汉论坛》2023年第5期。</w:t>
      </w:r>
    </w:p>
  </w:footnote>
  <w:footnote w:id="5">
    <w:p w14:paraId="238EFF22">
      <w:pPr>
        <w:pStyle w:val="3"/>
        <w:snapToGrid w:val="0"/>
      </w:pPr>
      <w:r>
        <w:rPr>
          <w:rStyle w:val="7"/>
        </w:rPr>
        <w:t>[</w:t>
      </w:r>
      <w:r>
        <w:rPr>
          <w:rStyle w:val="7"/>
        </w:rPr>
        <w:footnoteRef/>
      </w:r>
      <w:r>
        <w:rPr>
          <w:rStyle w:val="7"/>
        </w:rPr>
        <w:t>]</w:t>
      </w:r>
      <w:r>
        <w:t xml:space="preserve"> </w:t>
      </w:r>
      <w:r>
        <w:rPr>
          <w:rFonts w:hint="eastAsia"/>
        </w:rPr>
        <w:t>王华伟：《网络暴力治理：平台责任与守门人角色》，《交大法学》2024年第3期。</w:t>
      </w:r>
    </w:p>
  </w:footnote>
  <w:footnote w:id="6">
    <w:p w14:paraId="1776D74C">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Zhao YJ, Chu XW, Rong KX. Cyberbullying experience and bystander behavior in cyberbullying incidents: The serial mediating roles of perceived incident severity and empathy. Computers in Human Behavior, 2023, 138:107484, P.1.</w:t>
      </w:r>
    </w:p>
  </w:footnote>
  <w:footnote w:id="7">
    <w:p w14:paraId="010032A1">
      <w:pPr>
        <w:pStyle w:val="3"/>
        <w:keepNext w:val="0"/>
        <w:keepLines w:val="0"/>
        <w:pageBreakBefore w:val="0"/>
        <w:widowControl w:val="0"/>
        <w:kinsoku/>
        <w:wordWrap w:val="0"/>
        <w:overflowPunct/>
        <w:topLinePunct w:val="0"/>
        <w:bidi w:val="0"/>
        <w:adjustRightInd/>
        <w:snapToGrid w:val="0"/>
        <w:textAlignment w:val="auto"/>
        <w:rPr>
          <w:rFonts w:hint="eastAsia"/>
        </w:rPr>
      </w:pPr>
      <w:r>
        <w:rPr>
          <w:rStyle w:val="7"/>
        </w:rPr>
        <w:t>[</w:t>
      </w:r>
      <w:r>
        <w:rPr>
          <w:rStyle w:val="7"/>
        </w:rPr>
        <w:footnoteRef/>
      </w:r>
      <w:r>
        <w:rPr>
          <w:rStyle w:val="7"/>
        </w:rPr>
        <w:t>]</w:t>
      </w:r>
      <w:r>
        <w:t xml:space="preserve"> </w:t>
      </w:r>
      <w:r>
        <w:rPr>
          <w:rFonts w:hint="eastAsia"/>
        </w:rPr>
        <w:t>方兴东、顾烨烨、钟祥铭：《ChatGPT的传播革命是如何发生的?——解析社交媒体主导权的终结与智能媒体的崛起》，《现代出版》2023年第2期。</w:t>
      </w:r>
    </w:p>
  </w:footnote>
  <w:footnote w:id="8">
    <w:p w14:paraId="647F8201">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陈烨、许浩、程卿玄：《算法双重角色下的智能社会网络暴力传播：趋势、动因及治理路径》，《信息资源管理学报》。</w:t>
      </w:r>
    </w:p>
  </w:footnote>
  <w:footnote w:id="9">
    <w:p w14:paraId="5797D03F">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rPr>
          <w:rFonts w:hint="eastAsia"/>
          <w:lang w:val="en-US" w:eastAsia="zh-CN"/>
        </w:rPr>
        <w:t xml:space="preserve"> </w:t>
      </w:r>
      <w:r>
        <w:rPr>
          <w:rFonts w:hint="eastAsia"/>
        </w:rPr>
        <w:t>Lowry P B, Zhang J, Wang C, et al., “Why Do Adults Engage in Cyberbullying on Social Media? An Integration of Online Dis-inhibition and Deindividuation Effects with the Social Structure and Social Learning Model”， 27 Information Systems Research, No. 4（2016），pp. 962-986.</w:t>
      </w:r>
    </w:p>
  </w:footnote>
  <w:footnote w:id="10">
    <w:p w14:paraId="19C3B6B3">
      <w:pPr>
        <w:pStyle w:val="3"/>
        <w:keepNext w:val="0"/>
        <w:keepLines w:val="0"/>
        <w:pageBreakBefore w:val="0"/>
        <w:widowControl w:val="0"/>
        <w:kinsoku/>
        <w:wordWrap w:val="0"/>
        <w:overflowPunct/>
        <w:topLinePunct w:val="0"/>
        <w:bidi w:val="0"/>
        <w:adjustRightInd/>
        <w:snapToGrid w:val="0"/>
        <w:textAlignment w:val="auto"/>
        <w:rPr>
          <w:rFonts w:hint="eastAsia"/>
        </w:rPr>
      </w:pPr>
      <w:r>
        <w:rPr>
          <w:rStyle w:val="7"/>
        </w:rPr>
        <w:t>[</w:t>
      </w:r>
      <w:r>
        <w:rPr>
          <w:rStyle w:val="7"/>
        </w:rPr>
        <w:footnoteRef/>
      </w:r>
      <w:r>
        <w:rPr>
          <w:rStyle w:val="7"/>
        </w:rPr>
        <w:t>]</w:t>
      </w:r>
      <w:r>
        <w:t xml:space="preserve"> </w:t>
      </w:r>
      <w:r>
        <w:rPr>
          <w:rFonts w:hint="eastAsia"/>
        </w:rPr>
        <w:t>Ratan R, Beyea D, Li B J, et al., “Avatar Characteristics Induce Users’ Behavioral Conformity with Small-to-Medium Effect Sizes: A Meta-analysis of the Proteus Effect”， 23 Media Psychology, No. 5（2020），pp. 651-675.</w:t>
      </w:r>
    </w:p>
  </w:footnote>
  <w:footnote w:id="11">
    <w:p w14:paraId="302E1E0C">
      <w:pPr>
        <w:pStyle w:val="3"/>
        <w:snapToGrid w:val="0"/>
        <w:rPr>
          <w:rFonts w:hint="eastAsia"/>
        </w:rPr>
      </w:pPr>
      <w:r>
        <w:rPr>
          <w:rStyle w:val="7"/>
        </w:rPr>
        <w:t>[</w:t>
      </w:r>
      <w:r>
        <w:rPr>
          <w:rStyle w:val="7"/>
        </w:rPr>
        <w:footnoteRef/>
      </w:r>
      <w:r>
        <w:rPr>
          <w:rStyle w:val="7"/>
        </w:rPr>
        <w:t>]</w:t>
      </w:r>
      <w:r>
        <w:t xml:space="preserve"> </w:t>
      </w:r>
      <w:r>
        <w:rPr>
          <w:rFonts w:hint="eastAsia"/>
        </w:rPr>
        <w:t>刘金瑞：《网络暴力侵权法规制路径的完善》，《政法论坛》2024年第3期。</w:t>
      </w:r>
    </w:p>
  </w:footnote>
  <w:footnote w:id="12">
    <w:p w14:paraId="144D8A27">
      <w:pPr>
        <w:pStyle w:val="3"/>
        <w:snapToGrid w:val="0"/>
      </w:pPr>
      <w:r>
        <w:rPr>
          <w:rStyle w:val="7"/>
        </w:rPr>
        <w:t>[</w:t>
      </w:r>
      <w:r>
        <w:rPr>
          <w:rStyle w:val="7"/>
        </w:rPr>
        <w:footnoteRef/>
      </w:r>
      <w:r>
        <w:rPr>
          <w:rStyle w:val="7"/>
        </w:rPr>
        <w:t>]</w:t>
      </w:r>
      <w:r>
        <w:t xml:space="preserve"> </w:t>
      </w:r>
      <w:r>
        <w:rPr>
          <w:rFonts w:hint="eastAsia"/>
        </w:rPr>
        <w:t>吴汉东：《侵权责任法视野下的网络侵权责任解析》，《法商研究》2010年第6期。</w:t>
      </w:r>
    </w:p>
  </w:footnote>
  <w:footnote w:id="13">
    <w:p w14:paraId="42033749">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林凌：《论依法引导网络舆论——兼论网络言论自由权保护》，《学海》2012年第2期。</w:t>
      </w:r>
    </w:p>
  </w:footnote>
  <w:footnote w:id="14">
    <w:p w14:paraId="5D0CBA82">
      <w:pPr>
        <w:pStyle w:val="3"/>
        <w:snapToGrid w:val="0"/>
        <w:rPr>
          <w:rFonts w:hint="eastAsia"/>
        </w:rPr>
      </w:pPr>
      <w:r>
        <w:rPr>
          <w:rStyle w:val="7"/>
        </w:rPr>
        <w:t>[</w:t>
      </w:r>
      <w:r>
        <w:rPr>
          <w:rStyle w:val="7"/>
        </w:rPr>
        <w:footnoteRef/>
      </w:r>
      <w:r>
        <w:rPr>
          <w:rStyle w:val="7"/>
        </w:rPr>
        <w:t>]</w:t>
      </w:r>
      <w:r>
        <w:t xml:space="preserve"> </w:t>
      </w:r>
      <w:r>
        <w:rPr>
          <w:rFonts w:hint="eastAsia"/>
        </w:rPr>
        <w:t>单勇：《数字平台与犯罪治理转型》，《社会学研究》2022年第4期。</w:t>
      </w:r>
    </w:p>
  </w:footnote>
  <w:footnote w:id="15">
    <w:p w14:paraId="0460DF43">
      <w:pPr>
        <w:pStyle w:val="3"/>
        <w:snapToGrid w:val="0"/>
        <w:rPr>
          <w:rFonts w:hint="eastAsia"/>
        </w:rPr>
      </w:pPr>
      <w:r>
        <w:rPr>
          <w:rStyle w:val="7"/>
        </w:rPr>
        <w:t>[</w:t>
      </w:r>
      <w:r>
        <w:rPr>
          <w:rStyle w:val="7"/>
        </w:rPr>
        <w:footnoteRef/>
      </w:r>
      <w:r>
        <w:rPr>
          <w:rStyle w:val="7"/>
        </w:rPr>
        <w:t>]</w:t>
      </w:r>
      <w:r>
        <w:t xml:space="preserve"> </w:t>
      </w:r>
      <w:r>
        <w:rPr>
          <w:rFonts w:hint="eastAsia"/>
        </w:rPr>
        <w:t>刘权：《网络平台的公共性及其实现——以电商平台的法律规制为视角》，《法学研究》2020年第2期。</w:t>
      </w:r>
    </w:p>
  </w:footnote>
  <w:footnote w:id="16">
    <w:p w14:paraId="5CCD8C1F">
      <w:pPr>
        <w:pStyle w:val="3"/>
        <w:snapToGrid w:val="0"/>
        <w:rPr>
          <w:rFonts w:hint="eastAsia"/>
        </w:rPr>
      </w:pPr>
      <w:r>
        <w:rPr>
          <w:rStyle w:val="7"/>
        </w:rPr>
        <w:t>[</w:t>
      </w:r>
      <w:r>
        <w:rPr>
          <w:rStyle w:val="7"/>
        </w:rPr>
        <w:footnoteRef/>
      </w:r>
      <w:r>
        <w:rPr>
          <w:rStyle w:val="7"/>
        </w:rPr>
        <w:t>]</w:t>
      </w:r>
      <w:r>
        <w:t xml:space="preserve"> </w:t>
      </w:r>
      <w:r>
        <w:rPr>
          <w:rFonts w:hint="eastAsia"/>
        </w:rPr>
        <w:t>周辉：《双重秩序视角下的网络平台监管及其制度完善》，《法律科学（西北政法大学学报）》2024年第6期。</w:t>
      </w:r>
    </w:p>
  </w:footnote>
  <w:footnote w:id="17">
    <w:p w14:paraId="46869241">
      <w:pPr>
        <w:pStyle w:val="3"/>
        <w:keepNext w:val="0"/>
        <w:keepLines w:val="0"/>
        <w:pageBreakBefore w:val="0"/>
        <w:widowControl w:val="0"/>
        <w:kinsoku/>
        <w:wordWrap w:val="0"/>
        <w:overflowPunct/>
        <w:topLinePunct w:val="0"/>
        <w:bidi w:val="0"/>
        <w:adjustRightInd/>
        <w:snapToGrid w:val="0"/>
        <w:textAlignment w:val="auto"/>
        <w:rPr>
          <w:rFonts w:hint="eastAsia"/>
        </w:rPr>
      </w:pPr>
      <w:r>
        <w:rPr>
          <w:rStyle w:val="7"/>
        </w:rPr>
        <w:t>[</w:t>
      </w:r>
      <w:r>
        <w:rPr>
          <w:rStyle w:val="7"/>
        </w:rPr>
        <w:footnoteRef/>
      </w:r>
      <w:r>
        <w:rPr>
          <w:rStyle w:val="7"/>
        </w:rPr>
        <w:t>]</w:t>
      </w:r>
      <w:r>
        <w:t xml:space="preserve"> </w:t>
      </w:r>
      <w:r>
        <w:rPr>
          <w:rFonts w:hint="eastAsia"/>
        </w:rPr>
        <w:t>白红义：《媒介社会学中的“把关”：一个经典理论的形成、演化与再造》，《南京社会科学》2020年第1期。</w:t>
      </w:r>
    </w:p>
  </w:footnote>
  <w:footnote w:id="18">
    <w:p w14:paraId="17D4B12F">
      <w:pPr>
        <w:pStyle w:val="3"/>
        <w:keepNext w:val="0"/>
        <w:keepLines w:val="0"/>
        <w:pageBreakBefore w:val="0"/>
        <w:widowControl w:val="0"/>
        <w:kinsoku/>
        <w:wordWrap w:val="0"/>
        <w:overflowPunct/>
        <w:topLinePunct w:val="0"/>
        <w:bidi w:val="0"/>
        <w:adjustRightInd/>
        <w:snapToGrid w:val="0"/>
        <w:textAlignment w:val="auto"/>
        <w:rPr>
          <w:rFonts w:hint="eastAsia"/>
        </w:rPr>
      </w:pPr>
      <w:r>
        <w:rPr>
          <w:rStyle w:val="7"/>
        </w:rPr>
        <w:t>[</w:t>
      </w:r>
      <w:r>
        <w:rPr>
          <w:rStyle w:val="7"/>
        </w:rPr>
        <w:footnoteRef/>
      </w:r>
      <w:r>
        <w:rPr>
          <w:rStyle w:val="7"/>
        </w:rPr>
        <w:t>]</w:t>
      </w:r>
      <w:r>
        <w:t xml:space="preserve"> </w:t>
      </w:r>
      <w:r>
        <w:rPr>
          <w:rFonts w:hint="eastAsia"/>
        </w:rPr>
        <w:t>翟志勇：《数字守门人的概念源流与法理基础》，《荆楚法学》2024年第1期。</w:t>
      </w:r>
    </w:p>
  </w:footnote>
  <w:footnote w:id="19">
    <w:p w14:paraId="5A346F8A">
      <w:pPr>
        <w:pStyle w:val="3"/>
        <w:snapToGrid w:val="0"/>
      </w:pPr>
      <w:r>
        <w:rPr>
          <w:rStyle w:val="7"/>
        </w:rPr>
        <w:t>[</w:t>
      </w:r>
      <w:r>
        <w:rPr>
          <w:rStyle w:val="7"/>
        </w:rPr>
        <w:footnoteRef/>
      </w:r>
      <w:r>
        <w:rPr>
          <w:rStyle w:val="7"/>
        </w:rPr>
        <w:t>]</w:t>
      </w:r>
      <w:r>
        <w:t xml:space="preserve"> </w:t>
      </w:r>
      <w:r>
        <w:rPr>
          <w:rFonts w:hint="eastAsia"/>
        </w:rPr>
        <w:t>王彬：《构筑完善的网络信息平台反馈体系——浅析其中的治理逻辑、现实挑战与路径优化》，《新闻传播》2026年第4期。</w:t>
      </w:r>
    </w:p>
  </w:footnote>
  <w:footnote w:id="20">
    <w:p w14:paraId="12C684B6">
      <w:pPr>
        <w:pStyle w:val="3"/>
        <w:snapToGrid w:val="0"/>
      </w:pPr>
      <w:r>
        <w:rPr>
          <w:rStyle w:val="7"/>
        </w:rPr>
        <w:t>[</w:t>
      </w:r>
      <w:r>
        <w:rPr>
          <w:rStyle w:val="7"/>
        </w:rPr>
        <w:footnoteRef/>
      </w:r>
      <w:r>
        <w:rPr>
          <w:rStyle w:val="7"/>
        </w:rPr>
        <w:t>]</w:t>
      </w:r>
      <w:r>
        <w:t xml:space="preserve"> </w:t>
      </w:r>
      <w:r>
        <w:rPr>
          <w:rFonts w:hint="eastAsia"/>
        </w:rPr>
        <w:t>《网络信息内容生态治理规定》第</w:t>
      </w:r>
      <w:r>
        <w:rPr>
          <w:rFonts w:hint="eastAsia"/>
          <w:lang w:val="en-US" w:eastAsia="zh-CN"/>
        </w:rPr>
        <w:t>九</w:t>
      </w:r>
      <w:r>
        <w:rPr>
          <w:rFonts w:hint="eastAsia"/>
        </w:rPr>
        <w:t>条第</w:t>
      </w:r>
      <w:r>
        <w:rPr>
          <w:rFonts w:hint="eastAsia"/>
          <w:lang w:val="en-US" w:eastAsia="zh-CN"/>
        </w:rPr>
        <w:t>一</w:t>
      </w:r>
      <w:r>
        <w:rPr>
          <w:rFonts w:hint="eastAsia"/>
        </w:rPr>
        <w:t>款</w:t>
      </w:r>
      <w:r>
        <w:rPr>
          <w:rFonts w:hint="eastAsia"/>
          <w:lang w:eastAsia="zh-CN"/>
        </w:rPr>
        <w:t>：</w:t>
      </w:r>
      <w:r>
        <w:rPr>
          <w:rFonts w:hint="eastAsia"/>
        </w:rPr>
        <w:t>网络信息内容服务平台应当建立网络信息内容生态治理机制，制定本平台网络信息内容生态治理细则，健全用户注册、账号管理、信息发布审核、跟帖评论审核、版面页面生态管理、实时巡查、应急处置和网络谣言、黑色产业链信息处置等制度。</w:t>
      </w:r>
    </w:p>
  </w:footnote>
  <w:footnote w:id="21">
    <w:p w14:paraId="44F35914">
      <w:pPr>
        <w:pStyle w:val="3"/>
        <w:snapToGrid w:val="0"/>
      </w:pPr>
      <w:r>
        <w:rPr>
          <w:rStyle w:val="7"/>
        </w:rPr>
        <w:t>[</w:t>
      </w:r>
      <w:r>
        <w:rPr>
          <w:rStyle w:val="7"/>
        </w:rPr>
        <w:footnoteRef/>
      </w:r>
      <w:r>
        <w:rPr>
          <w:rStyle w:val="7"/>
        </w:rPr>
        <w:t>]</w:t>
      </w:r>
      <w:r>
        <w:t xml:space="preserve"> </w:t>
      </w:r>
      <w:r>
        <w:rPr>
          <w:rFonts w:hint="eastAsia"/>
        </w:rPr>
        <w:t>《跟帖评论服务管理规定》第四条</w:t>
      </w:r>
      <w:r>
        <w:rPr>
          <w:rFonts w:hint="eastAsia"/>
          <w:lang w:eastAsia="zh-CN"/>
        </w:rPr>
        <w:t>：</w:t>
      </w:r>
      <w:r>
        <w:rPr>
          <w:rFonts w:hint="eastAsia"/>
        </w:rPr>
        <w:t>跟帖评论服务提供者应当严格落实跟帖评论服务管理主体责任，依法履行以下义务：（一）按照“后台实名、前台自愿”原则，对注册用户进行基于移动电话号码、身份证件号码或者统一社会信用代码等方式的真实身份信息认证，不得向未认证真实身份信息或者冒用组织机构、他人身份信息的用户提供跟帖评论服务。（二）建立健全用户个人信息保护制度，处理用户个人信息应当遵循合法、正当、必要和诚信原则，公开个人信息处理规则，告知个人信息的处理目的、处理方式、处理的个人信息种类、保存期限等事项，并依法取得个人的同意。法律、行政法规另有规定的除外。（三）对新闻信息提供跟帖评论服务的，应当建立先审后发制度。（四）提供弹幕方式跟帖评论服务的，应当在同一平台和页面同时提供与之对应的静态版信息内容。（五）建立健全跟帖评论审核管理、实时巡查、应急处置、举报受理等信息安全管理制度，及时发现处置违法和不良信息，并向网信部门报告。（六）创新跟帖评论管理方式，研发使用跟帖评论信息安全管理技术，提升违法和不良信息处置能力；及时发现跟帖评论服务存在的安全缺陷、漏洞等风险，采取补救措施，并向网信部门报告。（七）配备与服务规模相适应的审核编辑队伍，加强跟帖评论审核培训，提高审核编辑人员专业素养。（八）配合网信部门依法开展监督检查工作，提供必要的技术、数据支持和协助。</w:t>
      </w:r>
    </w:p>
  </w:footnote>
  <w:footnote w:id="22">
    <w:p w14:paraId="6185B187">
      <w:pPr>
        <w:pStyle w:val="3"/>
        <w:keepNext w:val="0"/>
        <w:keepLines w:val="0"/>
        <w:pageBreakBefore w:val="0"/>
        <w:widowControl w:val="0"/>
        <w:kinsoku/>
        <w:wordWrap w:val="0"/>
        <w:overflowPunct/>
        <w:topLinePunct w:val="0"/>
        <w:bidi w:val="0"/>
        <w:adjustRightInd/>
        <w:snapToGrid w:val="0"/>
        <w:textAlignment w:val="auto"/>
        <w:rPr>
          <w:rFonts w:hint="eastAsia"/>
        </w:rPr>
      </w:pPr>
      <w:r>
        <w:rPr>
          <w:rStyle w:val="7"/>
        </w:rPr>
        <w:t>[</w:t>
      </w:r>
      <w:r>
        <w:rPr>
          <w:rStyle w:val="7"/>
        </w:rPr>
        <w:footnoteRef/>
      </w:r>
      <w:r>
        <w:rPr>
          <w:rStyle w:val="7"/>
        </w:rPr>
        <w:t>]</w:t>
      </w:r>
      <w:r>
        <w:t xml:space="preserve"> </w:t>
      </w:r>
      <w:r>
        <w:rPr>
          <w:rFonts w:hint="eastAsia"/>
        </w:rPr>
        <w:t>方璐馨、李永军：《网络平台的事先审核义务及责任承担》，《学海》2024年第1期。</w:t>
      </w:r>
    </w:p>
  </w:footnote>
  <w:footnote w:id="23">
    <w:p w14:paraId="19A87164">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ReThink. What is ReThink? Ending online hate before the damage is done![EB/OL]. (2025-01-11)[2025-10-29]. https://www.rethinkwords.com/whatisrethink.</w:t>
      </w:r>
    </w:p>
  </w:footnote>
  <w:footnote w:id="24">
    <w:p w14:paraId="27377762">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焦和平：《算法私人执法对版权公共领域的侵蚀及其应对》，《法商研究》2023年第1期。</w:t>
      </w:r>
    </w:p>
  </w:footnote>
  <w:footnote w:id="25">
    <w:p w14:paraId="2D7E157B">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陈烨、许浩、程卿玄：《算法双重角色下的智能社会网络暴力传播：趋势、动因及治理路径》，《信息资源管理学报》。</w:t>
      </w:r>
    </w:p>
  </w:footnote>
  <w:footnote w:id="26">
    <w:p w14:paraId="7F39A879">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徐伟：《网络侵权中“合格通知”规则检视及其完善——以〈民法典〉第一千一百九十五条第一款第2句为中心》，《法治社会》2023年第3期。</w:t>
      </w:r>
    </w:p>
  </w:footnote>
  <w:footnote w:id="27">
    <w:p w14:paraId="2F60C798">
      <w:pPr>
        <w:pStyle w:val="3"/>
        <w:keepNext w:val="0"/>
        <w:keepLines w:val="0"/>
        <w:pageBreakBefore w:val="0"/>
        <w:widowControl w:val="0"/>
        <w:kinsoku/>
        <w:wordWrap w:val="0"/>
        <w:overflowPunct/>
        <w:topLinePunct w:val="0"/>
        <w:bidi w:val="0"/>
        <w:adjustRightInd/>
        <w:snapToGrid w:val="0"/>
        <w:textAlignment w:val="auto"/>
      </w:pPr>
      <w:r>
        <w:rPr>
          <w:rStyle w:val="7"/>
        </w:rPr>
        <w:t>[</w:t>
      </w:r>
      <w:r>
        <w:rPr>
          <w:rStyle w:val="7"/>
        </w:rPr>
        <w:footnoteRef/>
      </w:r>
      <w:r>
        <w:rPr>
          <w:rStyle w:val="7"/>
        </w:rPr>
        <w:t>]</w:t>
      </w:r>
      <w:r>
        <w:t xml:space="preserve"> </w:t>
      </w:r>
      <w:r>
        <w:rPr>
          <w:rFonts w:hint="eastAsia"/>
        </w:rPr>
        <w:t>武腾：《电子商务平台经营者的侵权责任》，《法商研究》2022年第2期。</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81C25F"/>
    <w:multiLevelType w:val="singleLevel"/>
    <w:tmpl w:val="3A81C25F"/>
    <w:lvl w:ilvl="0" w:tentative="0">
      <w:start w:val="4"/>
      <w:numFmt w:val="chineseCounting"/>
      <w:suff w:val="nothing"/>
      <w:lvlText w:val="%1、"/>
      <w:lvlJc w:val="left"/>
      <w:rPr>
        <w:rFonts w:hint="eastAsia"/>
        <w:b/>
        <w:bCs/>
      </w:rPr>
    </w:lvl>
  </w:abstractNum>
  <w:abstractNum w:abstractNumId="1">
    <w:nsid w:val="541C8D83"/>
    <w:multiLevelType w:val="singleLevel"/>
    <w:tmpl w:val="541C8D83"/>
    <w:lvl w:ilvl="0" w:tentative="0">
      <w:start w:val="1"/>
      <w:numFmt w:val="chineseCounting"/>
      <w:suff w:val="nothing"/>
      <w:lvlText w:val="%1、"/>
      <w:lvlJc w:val="left"/>
      <w:rPr>
        <w:rFonts w:hint="eastAsia"/>
      </w:rPr>
    </w:lvl>
  </w:abstractNum>
  <w:abstractNum w:abstractNumId="2">
    <w:nsid w:val="546E0C98"/>
    <w:multiLevelType w:val="singleLevel"/>
    <w:tmpl w:val="546E0C98"/>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56"/>
    <w:footnote w:id="57"/>
  </w:footnotePr>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kNDRkNzYxZjI4NDZiYzI4YmU1ZDUzN2Y2NTk5MzYifQ=="/>
  </w:docVars>
  <w:rsids>
    <w:rsidRoot w:val="00000000"/>
    <w:rsid w:val="01092CD1"/>
    <w:rsid w:val="031F1BE3"/>
    <w:rsid w:val="09492910"/>
    <w:rsid w:val="0D6F34E7"/>
    <w:rsid w:val="0FFC3800"/>
    <w:rsid w:val="114C0817"/>
    <w:rsid w:val="19417E5E"/>
    <w:rsid w:val="1C26104D"/>
    <w:rsid w:val="1E6F2D44"/>
    <w:rsid w:val="1EE608E4"/>
    <w:rsid w:val="1FE32B75"/>
    <w:rsid w:val="238F77E5"/>
    <w:rsid w:val="26E17EE4"/>
    <w:rsid w:val="280644AA"/>
    <w:rsid w:val="2B8B53E1"/>
    <w:rsid w:val="2C1E188C"/>
    <w:rsid w:val="2C9A1FE8"/>
    <w:rsid w:val="2DEE1A0A"/>
    <w:rsid w:val="2F317D4F"/>
    <w:rsid w:val="2FA96F84"/>
    <w:rsid w:val="30122429"/>
    <w:rsid w:val="30E567C4"/>
    <w:rsid w:val="31D07E52"/>
    <w:rsid w:val="3A7D1E4B"/>
    <w:rsid w:val="3AD13A50"/>
    <w:rsid w:val="3F1A37B0"/>
    <w:rsid w:val="40AA04B2"/>
    <w:rsid w:val="4D1D1661"/>
    <w:rsid w:val="5D9F736A"/>
    <w:rsid w:val="626A3BCD"/>
    <w:rsid w:val="62977FA8"/>
    <w:rsid w:val="69EB2C7A"/>
    <w:rsid w:val="69F42AB4"/>
    <w:rsid w:val="6A2040EE"/>
    <w:rsid w:val="712F20D2"/>
    <w:rsid w:val="71B71FEE"/>
    <w:rsid w:val="71C86553"/>
    <w:rsid w:val="72E82F83"/>
    <w:rsid w:val="73474A4F"/>
    <w:rsid w:val="76AD1E33"/>
    <w:rsid w:val="777F746D"/>
    <w:rsid w:val="BF7F4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3">
    <w:name w:val="footnote text"/>
    <w:basedOn w:val="1"/>
    <w:qFormat/>
    <w:uiPriority w:val="0"/>
    <w:pPr>
      <w:snapToGrid w:val="0"/>
      <w:jc w:val="left"/>
    </w:pPr>
    <w:rPr>
      <w:sz w:val="18"/>
    </w:rPr>
  </w:style>
  <w:style w:type="character" w:styleId="6">
    <w:name w:val="endnote reference"/>
    <w:basedOn w:val="5"/>
    <w:qFormat/>
    <w:uiPriority w:val="0"/>
    <w:rPr>
      <w:vertAlign w:val="superscript"/>
    </w:rPr>
  </w:style>
  <w:style w:type="character" w:styleId="7">
    <w:name w:val="footnote reference"/>
    <w:basedOn w:val="5"/>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9551</Words>
  <Characters>10415</Characters>
  <Lines>0</Lines>
  <Paragraphs>0</Paragraphs>
  <TotalTime>929</TotalTime>
  <ScaleCrop>false</ScaleCrop>
  <LinksUpToDate>false</LinksUpToDate>
  <CharactersWithSpaces>10527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2024-08-05T09:10:00Z</dcterms:created>
  <dc:creator>LENOVO</dc:creator>
  <cp:lastModifiedBy>断弦</cp:lastModifiedBy>
  <dcterms:modified xsi:type="dcterms:W3CDTF">2026-06-25T06:39:03Z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7E363A7161404D11AD5654A0CE50AB07_13</vt:lpwstr>
  </property>
  <property fmtid="{D5CDD505-2E9C-101B-9397-08002B2CF9AE}" pid="4" name="KSOTemplateDocerSaveRecord">
    <vt:lpwstr>eyJoZGlkIjoiY2FkNDRkNzYxZjI4NDZiYzI4YmU1ZDUzN2Y2NTk5MzYiLCJ1c2VySWQiOiI2MTkwNDUyNzMifQ==</vt:lpwstr>
  </property>
</Properties>
</file>