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E52DD" w14:textId="77777777" w:rsidR="00B41A3F" w:rsidRDefault="00207A3C">
      <w:pPr>
        <w:pStyle w:val="31"/>
        <w:rPr>
          <w:lang w:eastAsia="zh-CN"/>
        </w:rPr>
      </w:pPr>
      <w:r>
        <w:rPr>
          <w:lang w:eastAsia="zh-CN"/>
        </w:rPr>
        <w:t>总评</w:t>
      </w:r>
    </w:p>
    <w:p w14:paraId="3EBDB6BC" w14:textId="77777777" w:rsidR="00B41A3F" w:rsidRDefault="00B41A3F">
      <w:pPr>
        <w:rPr>
          <w:rFonts w:hint="eastAsia"/>
          <w:lang w:eastAsia="zh-CN"/>
        </w:rPr>
      </w:pPr>
    </w:p>
    <w:p w14:paraId="0F182AF5" w14:textId="77897C58" w:rsidR="00B41A3F" w:rsidRDefault="00207A3C">
      <w:pPr>
        <w:rPr>
          <w:rFonts w:hint="eastAsia"/>
          <w:lang w:eastAsia="zh-CN"/>
        </w:rPr>
      </w:pPr>
      <w:r>
        <w:rPr>
          <w:lang w:eastAsia="zh-CN"/>
        </w:rPr>
        <w:t>本文选题与《环球医学进展》征稿范围高度匹配，研究方向具有临床应用价值。但作为综述文章，存在文献量严重不足（仅</w:t>
      </w:r>
      <w:r>
        <w:rPr>
          <w:lang w:eastAsia="zh-CN"/>
        </w:rPr>
        <w:t>12</w:t>
      </w:r>
      <w:r>
        <w:rPr>
          <w:lang w:eastAsia="zh-CN"/>
        </w:rPr>
        <w:t>篇）、缺乏系统性检索方法、批判性分析缺失、内容深度不够等核心问题。</w:t>
      </w:r>
    </w:p>
    <w:p w14:paraId="5A9B6767" w14:textId="77777777" w:rsidR="00B41A3F" w:rsidRDefault="00207A3C">
      <w:pPr>
        <w:pStyle w:val="31"/>
        <w:rPr>
          <w:lang w:eastAsia="zh-CN"/>
        </w:rPr>
      </w:pPr>
      <w:r>
        <w:rPr>
          <w:lang w:eastAsia="zh-CN"/>
        </w:rPr>
        <w:t>审稿建议：</w:t>
      </w:r>
      <w:r>
        <w:rPr>
          <w:lang w:eastAsia="zh-CN"/>
        </w:rPr>
        <w:t>**</w:t>
      </w:r>
      <w:r>
        <w:rPr>
          <w:lang w:eastAsia="zh-CN"/>
        </w:rPr>
        <w:t>建议修改后重审</w:t>
      </w:r>
      <w:r>
        <w:rPr>
          <w:lang w:eastAsia="zh-CN"/>
        </w:rPr>
        <w:t>**</w:t>
      </w:r>
    </w:p>
    <w:p w14:paraId="62A072D9" w14:textId="77777777" w:rsidR="00B41A3F" w:rsidRDefault="00207A3C">
      <w:pPr>
        <w:pStyle w:val="31"/>
        <w:rPr>
          <w:lang w:eastAsia="zh-CN"/>
        </w:rPr>
      </w:pPr>
      <w:r>
        <w:rPr>
          <w:lang w:eastAsia="zh-CN"/>
        </w:rPr>
        <w:t>修改建议</w:t>
      </w:r>
    </w:p>
    <w:p w14:paraId="4062E5E5" w14:textId="77777777" w:rsidR="00B41A3F" w:rsidRDefault="00B41A3F">
      <w:pPr>
        <w:rPr>
          <w:rFonts w:hint="eastAsia"/>
          <w:lang w:eastAsia="zh-CN"/>
        </w:rPr>
      </w:pPr>
    </w:p>
    <w:p w14:paraId="65246947" w14:textId="57D1015B" w:rsidR="00B41A3F" w:rsidRDefault="00207A3C" w:rsidP="009145CE">
      <w:pPr>
        <w:ind w:hanging="142"/>
        <w:rPr>
          <w:rFonts w:hint="eastAsia"/>
          <w:lang w:eastAsia="zh-CN"/>
        </w:rPr>
      </w:pPr>
      <w:r>
        <w:rPr>
          <w:lang w:eastAsia="zh-CN"/>
        </w:rPr>
        <w:t xml:space="preserve">1. </w:t>
      </w:r>
      <w:r>
        <w:rPr>
          <w:b/>
          <w:lang w:eastAsia="zh-CN"/>
        </w:rPr>
        <w:t>大幅扩充参考文献</w:t>
      </w:r>
      <w:r>
        <w:rPr>
          <w:lang w:eastAsia="zh-CN"/>
        </w:rPr>
        <w:t>：建议至少补充至</w:t>
      </w:r>
      <w:r>
        <w:rPr>
          <w:lang w:eastAsia="zh-CN"/>
        </w:rPr>
        <w:t>30</w:t>
      </w:r>
      <w:r>
        <w:rPr>
          <w:lang w:eastAsia="zh-CN"/>
        </w:rPr>
        <w:t>篇以上，</w:t>
      </w:r>
      <w:r>
        <w:rPr>
          <w:lang w:eastAsia="zh-CN"/>
        </w:rPr>
        <w:t>纳入更多国际文献（目前仅引用中文文献），并增加</w:t>
      </w:r>
      <w:r>
        <w:rPr>
          <w:lang w:eastAsia="zh-CN"/>
        </w:rPr>
        <w:t>HRUS</w:t>
      </w:r>
      <w:r>
        <w:rPr>
          <w:lang w:eastAsia="zh-CN"/>
        </w:rPr>
        <w:t>技术发展经典文献和权威指南。</w:t>
      </w:r>
    </w:p>
    <w:p w14:paraId="40E7B60A" w14:textId="0326E3BF" w:rsidR="00B41A3F" w:rsidRDefault="001B296E">
      <w:pPr>
        <w:ind w:hanging="142"/>
        <w:rPr>
          <w:rFonts w:hint="eastAsia"/>
          <w:lang w:eastAsia="zh-CN"/>
        </w:rPr>
      </w:pPr>
      <w:r>
        <w:rPr>
          <w:rFonts w:hint="eastAsia"/>
          <w:lang w:eastAsia="zh-CN"/>
        </w:rPr>
        <w:t>2</w:t>
      </w:r>
      <w:r w:rsidR="00207A3C">
        <w:rPr>
          <w:lang w:eastAsia="zh-CN"/>
        </w:rPr>
        <w:t xml:space="preserve">. </w:t>
      </w:r>
      <w:r w:rsidR="00207A3C">
        <w:rPr>
          <w:b/>
          <w:lang w:eastAsia="zh-CN"/>
        </w:rPr>
        <w:t>加强批判性分析</w:t>
      </w:r>
      <w:r w:rsidR="00207A3C">
        <w:rPr>
          <w:lang w:eastAsia="zh-CN"/>
        </w:rPr>
        <w:t>：对所引研究的设计质量、样本量、随访时间等进行评价，讨论研究间差异的可能原因。</w:t>
      </w:r>
    </w:p>
    <w:p w14:paraId="143F7108" w14:textId="28566B22" w:rsidR="00B41A3F" w:rsidRDefault="001B296E">
      <w:pPr>
        <w:ind w:hanging="142"/>
        <w:rPr>
          <w:rFonts w:hint="eastAsia"/>
          <w:lang w:eastAsia="zh-CN"/>
        </w:rPr>
      </w:pPr>
      <w:r>
        <w:rPr>
          <w:rFonts w:hint="eastAsia"/>
          <w:lang w:eastAsia="zh-CN"/>
        </w:rPr>
        <w:t>3</w:t>
      </w:r>
      <w:r w:rsidR="00207A3C">
        <w:rPr>
          <w:lang w:eastAsia="zh-CN"/>
        </w:rPr>
        <w:t xml:space="preserve">. </w:t>
      </w:r>
      <w:r w:rsidR="00207A3C">
        <w:rPr>
          <w:b/>
          <w:lang w:eastAsia="zh-CN"/>
        </w:rPr>
        <w:t>增加与其他影像学方法的比较讨论</w:t>
      </w:r>
      <w:r w:rsidR="00207A3C">
        <w:rPr>
          <w:lang w:eastAsia="zh-CN"/>
        </w:rPr>
        <w:t>：帮助读者理解</w:t>
      </w:r>
      <w:r w:rsidR="00207A3C">
        <w:rPr>
          <w:lang w:eastAsia="zh-CN"/>
        </w:rPr>
        <w:t>HRUS</w:t>
      </w:r>
      <w:r w:rsidR="00207A3C">
        <w:rPr>
          <w:lang w:eastAsia="zh-CN"/>
        </w:rPr>
        <w:t>在浅表器官影像学中的定位。</w:t>
      </w:r>
    </w:p>
    <w:p w14:paraId="60DFF9C0" w14:textId="650DC0A6" w:rsidR="00B41A3F" w:rsidRDefault="001B296E">
      <w:pPr>
        <w:ind w:hanging="142"/>
        <w:rPr>
          <w:rFonts w:hint="eastAsia"/>
          <w:lang w:eastAsia="zh-CN"/>
        </w:rPr>
      </w:pPr>
      <w:r>
        <w:rPr>
          <w:rFonts w:hint="eastAsia"/>
          <w:lang w:eastAsia="zh-CN"/>
        </w:rPr>
        <w:t>4</w:t>
      </w:r>
      <w:r w:rsidR="00207A3C">
        <w:rPr>
          <w:lang w:eastAsia="zh-CN"/>
        </w:rPr>
        <w:t xml:space="preserve">. </w:t>
      </w:r>
      <w:r w:rsidR="00207A3C">
        <w:rPr>
          <w:b/>
          <w:lang w:eastAsia="zh-CN"/>
        </w:rPr>
        <w:t>讨论</w:t>
      </w:r>
      <w:r w:rsidR="00207A3C">
        <w:rPr>
          <w:b/>
          <w:lang w:eastAsia="zh-CN"/>
        </w:rPr>
        <w:t>HRUS</w:t>
      </w:r>
      <w:r w:rsidR="00207A3C">
        <w:rPr>
          <w:b/>
          <w:lang w:eastAsia="zh-CN"/>
        </w:rPr>
        <w:t>的局限性</w:t>
      </w:r>
      <w:r w:rsidR="00207A3C">
        <w:rPr>
          <w:lang w:eastAsia="zh-CN"/>
        </w:rPr>
        <w:t>：包括操作者依赖性、技术参数对诊断的影响等。</w:t>
      </w:r>
    </w:p>
    <w:p w14:paraId="59D92786" w14:textId="512970FD" w:rsidR="00B41A3F" w:rsidRDefault="001B296E">
      <w:pPr>
        <w:ind w:hanging="142"/>
        <w:rPr>
          <w:rFonts w:hint="eastAsia"/>
          <w:lang w:eastAsia="zh-CN"/>
        </w:rPr>
      </w:pPr>
      <w:r>
        <w:rPr>
          <w:rFonts w:hint="eastAsia"/>
          <w:lang w:eastAsia="zh-CN"/>
        </w:rPr>
        <w:t>5</w:t>
      </w:r>
      <w:r w:rsidR="00207A3C">
        <w:rPr>
          <w:lang w:eastAsia="zh-CN"/>
        </w:rPr>
        <w:t xml:space="preserve">. </w:t>
      </w:r>
      <w:r w:rsidR="00207A3C">
        <w:rPr>
          <w:b/>
          <w:lang w:eastAsia="zh-CN"/>
        </w:rPr>
        <w:t>降低</w:t>
      </w:r>
      <w:r w:rsidR="00207A3C">
        <w:rPr>
          <w:b/>
          <w:lang w:eastAsia="zh-CN"/>
        </w:rPr>
        <w:t>AI</w:t>
      </w:r>
      <w:r w:rsidR="00207A3C">
        <w:rPr>
          <w:b/>
          <w:lang w:eastAsia="zh-CN"/>
        </w:rPr>
        <w:t>生成痕迹</w:t>
      </w:r>
      <w:r w:rsidR="00207A3C">
        <w:rPr>
          <w:lang w:eastAsia="zh-CN"/>
        </w:rPr>
        <w:t>：重新撰写框架过渡语句和结论部分，加入更多个人学术判断与观点，避免模板化表达。</w:t>
      </w:r>
    </w:p>
    <w:p w14:paraId="7ACE2DBF" w14:textId="68970978" w:rsidR="00B41A3F" w:rsidRDefault="001B296E">
      <w:pPr>
        <w:ind w:hanging="142"/>
        <w:rPr>
          <w:rFonts w:hint="eastAsia"/>
          <w:lang w:eastAsia="zh-CN"/>
        </w:rPr>
      </w:pPr>
      <w:r>
        <w:rPr>
          <w:rFonts w:hint="eastAsia"/>
          <w:lang w:eastAsia="zh-CN"/>
        </w:rPr>
        <w:t>6</w:t>
      </w:r>
      <w:r w:rsidR="00207A3C">
        <w:rPr>
          <w:lang w:eastAsia="zh-CN"/>
        </w:rPr>
        <w:t xml:space="preserve">. </w:t>
      </w:r>
      <w:r w:rsidR="00207A3C">
        <w:rPr>
          <w:b/>
          <w:lang w:eastAsia="zh-CN"/>
        </w:rPr>
        <w:t>规范摘要格式</w:t>
      </w:r>
      <w:r w:rsidR="00207A3C">
        <w:rPr>
          <w:lang w:eastAsia="zh-CN"/>
        </w:rPr>
        <w:t>：改为结构化摘要（目的、方法、结果、结论）。</w:t>
      </w:r>
    </w:p>
    <w:p w14:paraId="52CF1664" w14:textId="21FCCF29" w:rsidR="00B41A3F" w:rsidRPr="009145CE" w:rsidRDefault="00B41A3F" w:rsidP="001B296E">
      <w:pPr>
        <w:rPr>
          <w:rFonts w:hint="eastAsia"/>
          <w:lang w:eastAsia="zh-CN"/>
        </w:rPr>
      </w:pPr>
    </w:p>
    <w:sectPr w:rsidR="00B41A3F" w:rsidRPr="009145CE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9432564">
    <w:abstractNumId w:val="8"/>
  </w:num>
  <w:num w:numId="2" w16cid:durableId="822158707">
    <w:abstractNumId w:val="6"/>
  </w:num>
  <w:num w:numId="3" w16cid:durableId="1789084198">
    <w:abstractNumId w:val="5"/>
  </w:num>
  <w:num w:numId="4" w16cid:durableId="337393728">
    <w:abstractNumId w:val="4"/>
  </w:num>
  <w:num w:numId="5" w16cid:durableId="26294840">
    <w:abstractNumId w:val="7"/>
  </w:num>
  <w:num w:numId="6" w16cid:durableId="387996664">
    <w:abstractNumId w:val="3"/>
  </w:num>
  <w:num w:numId="7" w16cid:durableId="1160123569">
    <w:abstractNumId w:val="2"/>
  </w:num>
  <w:num w:numId="8" w16cid:durableId="249044059">
    <w:abstractNumId w:val="1"/>
  </w:num>
  <w:num w:numId="9" w16cid:durableId="201229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296E"/>
    <w:rsid w:val="00207A3C"/>
    <w:rsid w:val="0029639D"/>
    <w:rsid w:val="00326F90"/>
    <w:rsid w:val="00561C11"/>
    <w:rsid w:val="00631DC3"/>
    <w:rsid w:val="009145CE"/>
    <w:rsid w:val="00AA1D8D"/>
    <w:rsid w:val="00B41A3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53C03F"/>
  <w14:defaultImageDpi w14:val="300"/>
  <w15:docId w15:val="{A17B872E-6616-416E-ADF6-47A9E9FD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宋体" w:eastAsia="宋体" w:hAnsi="宋体"/>
      <w:color w:val="00000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lockquote">
    <w:name w:val="Blockquote"/>
    <w:basedOn w:val="a1"/>
    <w:rPr>
      <w:rFonts w:ascii="楷体" w:eastAsia="楷体" w:hAnsi="楷体"/>
      <w:color w:val="444444"/>
    </w:rPr>
  </w:style>
  <w:style w:type="character" w:customStyle="1" w:styleId="CodeChar">
    <w:name w:val="CodeChar"/>
    <w:basedOn w:val="a2"/>
    <w:rPr>
      <w:rFonts w:ascii="Courier New" w:eastAsia="Courier New" w:hAnsi="Courier New"/>
      <w:color w:val="000000"/>
      <w:sz w:val="20"/>
    </w:rPr>
  </w:style>
  <w:style w:type="paragraph" w:customStyle="1" w:styleId="ListBullet">
    <w:name w:val="ListBullet"/>
    <w:basedOn w:val="a1"/>
  </w:style>
  <w:style w:type="paragraph" w:customStyle="1" w:styleId="ListNumber">
    <w:name w:val="ListNumber"/>
    <w:basedOn w:val="a1"/>
  </w:style>
  <w:style w:type="paragraph" w:customStyle="1" w:styleId="Table">
    <w:name w:val="Table"/>
    <w:basedOn w:val="a1"/>
    <w:pPr>
      <w:jc w:val="center"/>
    </w:pPr>
    <w:rPr>
      <w:sz w:val="20"/>
    </w:rPr>
  </w:style>
  <w:style w:type="paragraph" w:customStyle="1" w:styleId="HorizontalRule">
    <w:name w:val="HorizontalRule"/>
    <w:basedOn w:val="a1"/>
    <w:pPr>
      <w:spacing w:after="240"/>
    </w:pPr>
    <w:rPr>
      <w:color w:val="CCCCCC"/>
    </w:rPr>
  </w:style>
  <w:style w:type="paragraph" w:customStyle="1" w:styleId="Footnote">
    <w:name w:val="Footnote"/>
    <w:basedOn w:val="a1"/>
    <w:rPr>
      <w:color w:val="66666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232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MarkdownToDocx Converter</dc:creator>
  <cp:keywords/>
  <dc:description>Converted from Markdown to DOCX</dc:description>
  <cp:lastModifiedBy>Yanqi Wu</cp:lastModifiedBy>
  <cp:revision>3</cp:revision>
  <dcterms:created xsi:type="dcterms:W3CDTF">2013-12-23T23:15:00Z</dcterms:created>
  <dcterms:modified xsi:type="dcterms:W3CDTF">2026-06-15T09:29:00Z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1518841138518515_0/project_7649342920486699279-generated/20260615/b810f8c6-71aa-4192-acbe-e3dc31d822b2/审稿意见_高分辨率超声_环球医学进展.md.docx","ReservedCode1":"","ContentPropagator":"001191110102MACQD9K64028705","PropagateID":"1518841138518515#1781515049513","ReservedCode2":""}</vt:lpwstr>
  </property>
</Properties>
</file>