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尊敬的编辑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您好！感谢审稿人详实的审稿意见，为本文的进一步完善提供了建议与思路。必须承认的是，营业性演出业黄牛党治理一直是一个让人头疼的事情，本篇文章的起源就来自于本人一次抢票经历，使本人对此问题产生了兴趣。但随着深入研究发现，对黄牛党的治理是一个复杂的难题，在最初的版本中，本想围绕青年黄牛党现象（以学生为主的群体）进行分析，但囷于材料等限制，只是作为补充在此篇文章中展现。诚如审稿专家所指出的文章有些地方“存在泛泛而谈”的情况，这既源于实践问题的复杂性，也受到本人知识水平的局限性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以下本人针对编辑所提出的意见进行回答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1.建议（一）第一章，建议应更多关注于法律风险的识别，而非泛泛而谈；（二）大量的案例建议放在引言部分。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修改：对文章第一部分从内容到标题进行了针对性修改，提高其法学色彩；将一些案列进行删除处理，因为这些案例多来自于新闻报道等，为了避免争议等，对其进行删除处理。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2.（三）文章标题大量采用冒号形式，建议一句话点明观点，不要用过多冒号，造成标题的繁复；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修改：已对文章各标题进行简化处理。</w:t>
      </w:r>
    </w:p>
    <w:p>
      <w:pPr>
        <w:tabs>
          <w:tab w:val="left" w:pos="410"/>
        </w:tabs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（四）第二章治理困境的分析大量停留在现象层面泛泛而谈，缺少法学视角的专业化问题聚焦；（六）提出的解决方法过于宏观，缺少真正实际上的意义；（七）“拓展执法空间：线上与线下打击并行”部分更多在讨论多主体的合作，而非线下线上方式的结合；；（十）建议将第四章的风险规制理论放在第三部分的进路论述。</w:t>
      </w:r>
    </w:p>
    <w:p>
      <w:pPr>
        <w:tabs>
          <w:tab w:val="left" w:pos="410"/>
        </w:tabs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：针对第二部分进行针对性修改，将第二部分分为正常转售与违法倒票的行为边界不清、行政处罚与刑事制裁的责任衔接不足、现行票务规则难以涵盖实际境况、平台责任与协同治理不充分等四部分，更加专注其法学色彩。针对（六）（七）（十）在文章第三部分进行了针对性修改，在立足实践的基础上，以风险预防为导向、差异化工具的配置、转售行为的的边界、协同治理等进行分析。针对实践中与法律中行为区分与认定困难，进行细致划分。</w:t>
      </w:r>
    </w:p>
    <w:p>
      <w:pPr>
        <w:tabs>
          <w:tab w:val="left" w:pos="410"/>
        </w:tabs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（五）参考的注释中国外部分大量均是非法学期刊，权威性需注意；（九）“官方解释了最低销售门票数量不得低于70%的原因主要是出于尊重行业协会和票务部门的意见，因为其中包含一些必要的赠票”没有引注；</w:t>
      </w:r>
    </w:p>
    <w:p>
      <w:pPr>
        <w:tabs>
          <w:tab w:val="left" w:pos="410"/>
        </w:tabs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修改：黄牛治理不仅是法学所关注的问题，同样是经济学、体育学等关注的，不同学科研究提供了不同视角，目前对文献做了部分调整；针对（九）已在文中明确了官网的报道。</w:t>
      </w:r>
    </w:p>
    <w:p>
      <w:pPr>
        <w:tabs>
          <w:tab w:val="left" w:pos="410"/>
        </w:tabs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（八）“在必要性以及均衡性原则的审视下，将加价转售行为均认定为违法，会造成过罚不当的情况，显然不符合比例原则的具体要求。”为什么得出这样的结论没有说明理由，过的大小程度以及罚的大小程度的比较并不深入；</w:t>
      </w:r>
    </w:p>
    <w:p>
      <w:pPr>
        <w:bidi w:val="0"/>
        <w:ind w:firstLine="435" w:firstLineChars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修改：在文中第三章第三节中进行说明，“比例原则作为行政法上的“帝王原则”在其中的运用显得尤为重要，如果仅因转售金额略高于票面金额就对其进行行政处罚，不符合比例原则的要求。从比例原则三个子原则的具体展开来看，虽然在实践中对适当性的要求相对较低，只要手段与目的存在关联一般不会认定违背适当性要求，必要性原则要求在相同有效性下的最小侵害，均衡性原则并不一定要求手段所增进的利益大于其造成的损害，二者之间成比例即可。对职业化、规模化倒票进行处罚，有助于维护票务市场秩序，符合适当性要求；但将所有加价转售行为一概认定为违法，并非相同有效性下的最小侵害手段，难以满足必要性要求；对偶发、小额、非营利性转售适用与职业化倒票相近的处罚后果，也可能导致法益侵害程度与处罚强度失衡，进而违反均衡性要求。由此，未经区分将加价转售行为均认定为违法，显然不符合比例原则的具体要求。”</w:t>
      </w:r>
    </w:p>
    <w:p>
      <w:pPr>
        <w:bidi w:val="0"/>
        <w:ind w:firstLine="435" w:firstLineChars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黄牛问题是一个综合性问题，所以从社会治理角度进行切入再从法学角度看显得有些不聚焦，这也确实是本文在写作时所面临的困难，一方面既想将实践中的黄牛运作完整呈现，但又从篇幅占比以及避免写成介绍性的文章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考虑，对其进行略写与简化；所以本篇文章关注的可以说是一个“大问题”，但在写作时确实面临解决方案困难的问题，目前均已进行针对性调整。</w:t>
      </w:r>
    </w:p>
    <w:p>
      <w:pPr>
        <w:bidi w:val="0"/>
        <w:ind w:firstLine="435" w:firstLineChars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jMzhkYWE2OWExYjgyMGI2MjM3NDQ0ODYyYjBiMDIifQ=="/>
  </w:docVars>
  <w:rsids>
    <w:rsidRoot w:val="00000000"/>
    <w:rsid w:val="0CE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2026-06-15T14:36:54Z</dcterms:created>
  <dc:creator>86135</dc:creator>
  <cp:lastModifiedBy>Guanhay</cp:lastModifiedBy>
  <dcterms:modified xsi:type="dcterms:W3CDTF">2026-06-15T15:49:41Z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A26040E6ABE347ABB02962FDEDBF47A6_12</vt:lpwstr>
  </property>
</Properties>
</file>