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9E1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以下</w:t>
      </w:r>
      <w:r>
        <w:rPr>
          <w:rFonts w:hint="eastAsia"/>
          <w:lang w:val="en-US" w:eastAsia="zh-CN"/>
        </w:rPr>
        <w:t>是编辑部对</w:t>
      </w:r>
      <w:r>
        <w:rPr>
          <w:rFonts w:hint="eastAsia"/>
        </w:rPr>
        <w:t>《营业性演出业黄牛党的风险识别与规制进路》一文的</w:t>
      </w:r>
      <w:r>
        <w:rPr>
          <w:rFonts w:hint="eastAsia"/>
          <w:lang w:val="en-US" w:eastAsia="zh-CN"/>
        </w:rPr>
        <w:t>审稿</w:t>
      </w:r>
      <w:r>
        <w:rPr>
          <w:rFonts w:hint="eastAsia"/>
        </w:rPr>
        <w:t>意见：</w:t>
      </w:r>
    </w:p>
    <w:p w14:paraId="78E8CD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一、总体评价：</w:t>
      </w:r>
    </w:p>
    <w:p w14:paraId="49E93F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eastAsia="zh-CN"/>
        </w:rPr>
      </w:pPr>
      <w:r>
        <w:rPr>
          <w:rFonts w:hint="eastAsia"/>
        </w:rPr>
        <w:t>本文的问题导向明确，选题紧贴现实需求，具有一定的应用价值。</w:t>
      </w:r>
      <w:r>
        <w:rPr>
          <w:rFonts w:hint="eastAsia"/>
          <w:lang w:val="en-US" w:eastAsia="zh-CN"/>
        </w:rPr>
        <w:t>同时，文章的结构对称，每一章节内容相对翔实。</w:t>
      </w:r>
      <w:r>
        <w:rPr>
          <w:rFonts w:hint="eastAsia"/>
        </w:rPr>
        <w:t>然而，在</w:t>
      </w:r>
      <w:r>
        <w:rPr>
          <w:rFonts w:hint="eastAsia"/>
          <w:lang w:val="en-US" w:eastAsia="zh-CN"/>
        </w:rPr>
        <w:t>法学</w:t>
      </w:r>
      <w:r>
        <w:rPr>
          <w:rFonts w:hint="eastAsia"/>
        </w:rPr>
        <w:t>理论阐释的深度和论证的严谨性方面仍有待加强。</w:t>
      </w:r>
    </w:p>
    <w:p w14:paraId="6D12D5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二、不足之处与修改意见</w:t>
      </w:r>
    </w:p>
    <w:p w14:paraId="7F40EB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一）</w:t>
      </w:r>
      <w:r>
        <w:rPr>
          <w:rFonts w:hint="eastAsia"/>
        </w:rPr>
        <w:t>第一章，建议应更多关注于法律风险的识别，而非泛泛而谈；</w:t>
      </w:r>
    </w:p>
    <w:p w14:paraId="60DE8D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2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二）</w:t>
      </w:r>
      <w:r>
        <w:rPr>
          <w:rFonts w:hint="eastAsia"/>
        </w:rPr>
        <w:t>大量的案例建议放在引言部分；</w:t>
      </w:r>
    </w:p>
    <w:p w14:paraId="2EA7FF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2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三）</w:t>
      </w:r>
      <w:r>
        <w:rPr>
          <w:rFonts w:hint="eastAsia"/>
        </w:rPr>
        <w:t>文章标题大量采用冒号形式，建议一句话点</w:t>
      </w:r>
      <w:r>
        <w:rPr>
          <w:rFonts w:hint="eastAsia"/>
          <w:lang w:val="en-US" w:eastAsia="zh-CN"/>
        </w:rPr>
        <w:t>明</w:t>
      </w:r>
      <w:bookmarkStart w:id="0" w:name="_GoBack"/>
      <w:bookmarkEnd w:id="0"/>
      <w:r>
        <w:rPr>
          <w:rFonts w:hint="eastAsia"/>
        </w:rPr>
        <w:t>观点，不要用过多冒号，造成标题的繁复；</w:t>
      </w:r>
    </w:p>
    <w:p w14:paraId="5A92B0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2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四）</w:t>
      </w:r>
      <w:r>
        <w:rPr>
          <w:rFonts w:hint="eastAsia"/>
        </w:rPr>
        <w:t>第二章治理困境的分析大量停留在现象层面泛泛而谈，缺少法学视角的专业化问题聚焦；</w:t>
      </w:r>
    </w:p>
    <w:p w14:paraId="62C34D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2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五）</w:t>
      </w:r>
      <w:r>
        <w:rPr>
          <w:rFonts w:hint="eastAsia"/>
        </w:rPr>
        <w:t>参考的注释中国外部分大量均是非法学期刊，权威性需注意；</w:t>
      </w:r>
    </w:p>
    <w:p w14:paraId="3E3972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2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六）</w:t>
      </w:r>
      <w:r>
        <w:rPr>
          <w:rFonts w:hint="eastAsia"/>
        </w:rPr>
        <w:t>提出的解决方法过于宏观，缺少真正实际上的意义；</w:t>
      </w:r>
    </w:p>
    <w:p w14:paraId="405264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20" w:firstLineChars="200"/>
        <w:textAlignment w:val="auto"/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七）</w:t>
      </w:r>
      <w:r>
        <w:rPr>
          <w:rFonts w:hint="eastAsia"/>
        </w:rPr>
        <w:t>“拓展执法空间：线上与线下打击并行”部分更多在讨论多主体的合作，而非线下线上方式的结合；</w:t>
      </w:r>
    </w:p>
    <w:p w14:paraId="7A07A4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20" w:firstLineChars="200"/>
        <w:textAlignment w:val="auto"/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八）</w:t>
      </w:r>
      <w:r>
        <w:rPr>
          <w:rFonts w:hint="eastAsia"/>
        </w:rPr>
        <w:t>“在必要性以及均衡性原则的审视下，将加价转售行为均认定为违法，会造成过罚不当的情况，显然不符合比例原则的具体要求。”为什么得出这样的结论没有说明理由，过的大小程度以及罚的大小程度的比较并不深入</w:t>
      </w:r>
      <w:r>
        <w:rPr>
          <w:rFonts w:hint="eastAsia"/>
          <w:lang w:eastAsia="zh-CN"/>
        </w:rPr>
        <w:t>；</w:t>
      </w:r>
    </w:p>
    <w:p w14:paraId="4DFBB3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20" w:firstLineChars="200"/>
        <w:textAlignment w:val="auto"/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九）</w:t>
      </w:r>
      <w:r>
        <w:rPr>
          <w:rFonts w:hint="eastAsia"/>
        </w:rPr>
        <w:t>“官方解释了最低销售门票数量不得低于70%的原因主要是出于尊重行业协会和票务部门的意见，因为其中包含一些必要的赠票”没有引注；</w:t>
      </w:r>
    </w:p>
    <w:p w14:paraId="23CD5B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20" w:firstLineChars="200"/>
        <w:textAlignment w:val="auto"/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十）</w:t>
      </w:r>
      <w:r>
        <w:rPr>
          <w:rFonts w:hint="eastAsia"/>
        </w:rPr>
        <w:t>建议将第四章的风险规制理论放在第三部分的进路论述。</w:t>
      </w:r>
    </w:p>
    <w:p w14:paraId="7E0FA86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20" w:firstLineChars="200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期待修改稿！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EDD0CC"/>
    <w:rsid w:val="1EEDD0CC"/>
    <w:rsid w:val="FFABF9A8"/>
    <w:rsid w:val="FFFB9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Office_12.1.26016.26016_F1E327BC-269C-435d-A152-05C5408002CA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2026-06-10T07:32:00Z</dcterms:created>
  <dc:creator>wang</dc:creator>
  <cp:lastModifiedBy>邢彤晖</cp:lastModifiedBy>
  <dcterms:modified xsi:type="dcterms:W3CDTF">2026-06-09T15:47:52Z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2052-12.1.26016.26016</vt:lpwstr>
  </property>
  <property fmtid="{D5CDD505-2E9C-101B-9397-08002B2CF9AE}" pid="3" name="ICV">
    <vt:lpwstr>FDAD33BE5195825074C1276A60355E1E_41</vt:lpwstr>
  </property>
</Properties>
</file>