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5E4F3">
      <w:pPr>
        <w:rPr>
          <w:rFonts w:hint="eastAsia"/>
        </w:rPr>
      </w:pPr>
      <w:r>
        <w:rPr>
          <w:rFonts w:hint="eastAsia"/>
        </w:rPr>
        <w:t>以下</w:t>
      </w:r>
      <w:r>
        <w:rPr>
          <w:rFonts w:hint="eastAsia"/>
          <w:lang w:val="en-US" w:eastAsia="zh-CN"/>
        </w:rPr>
        <w:t>是编辑部对</w:t>
      </w:r>
      <w:r>
        <w:rPr>
          <w:rFonts w:hint="eastAsia"/>
        </w:rPr>
        <w:t>《文化遗产公益救济的新路径</w:t>
      </w:r>
      <w:r>
        <w:rPr>
          <w:rFonts w:hint="eastAsia"/>
          <w:lang w:eastAsia="zh-CN"/>
        </w:rPr>
        <w:t>——</w:t>
      </w:r>
      <w:r>
        <w:rPr>
          <w:rFonts w:hint="eastAsia"/>
        </w:rPr>
        <w:t>从首例文物拍卖许可吊销案谈起》一文的</w:t>
      </w:r>
      <w:r>
        <w:rPr>
          <w:rFonts w:hint="eastAsia"/>
          <w:lang w:val="en-US" w:eastAsia="zh-CN"/>
        </w:rPr>
        <w:t>审稿</w:t>
      </w:r>
      <w:r>
        <w:rPr>
          <w:rFonts w:hint="eastAsia"/>
        </w:rPr>
        <w:t>意见：</w:t>
      </w:r>
    </w:p>
    <w:p w14:paraId="0189E7FC">
      <w:pPr>
        <w:rPr>
          <w:rFonts w:hint="eastAsia"/>
        </w:rPr>
      </w:pPr>
    </w:p>
    <w:p w14:paraId="3FC404C1">
      <w:pPr>
        <w:rPr>
          <w:rFonts w:hint="eastAsia"/>
          <w:lang w:val="en-US" w:eastAsia="zh-CN"/>
        </w:rPr>
      </w:pPr>
      <w:r>
        <w:rPr>
          <w:rFonts w:hint="eastAsia"/>
          <w:lang w:val="en-US" w:eastAsia="zh-CN"/>
        </w:rPr>
        <w:t>一、总体评价：</w:t>
      </w:r>
    </w:p>
    <w:p w14:paraId="35330903">
      <w:pPr>
        <w:ind w:firstLine="420" w:firstLineChars="200"/>
        <w:rPr>
          <w:rFonts w:hint="eastAsia"/>
          <w:lang w:eastAsia="zh-CN"/>
        </w:rPr>
      </w:pPr>
      <w:r>
        <w:rPr>
          <w:rFonts w:hint="eastAsia"/>
        </w:rPr>
        <w:t>本文问题意识清晰，选题具有现实意义</w:t>
      </w:r>
      <w:r>
        <w:rPr>
          <w:rFonts w:hint="eastAsia"/>
          <w:lang w:eastAsia="zh-CN"/>
        </w:rPr>
        <w:t>，</w:t>
      </w:r>
      <w:r>
        <w:rPr>
          <w:rFonts w:hint="eastAsia"/>
          <w:lang w:val="en-US" w:eastAsia="zh-CN"/>
        </w:rPr>
        <w:t>但</w:t>
      </w:r>
      <w:r>
        <w:rPr>
          <w:rFonts w:hint="eastAsia"/>
          <w:lang w:eastAsia="zh-CN"/>
        </w:rPr>
        <w:t>在理论深度、论证精细度</w:t>
      </w:r>
      <w:r>
        <w:rPr>
          <w:rFonts w:hint="eastAsia"/>
          <w:lang w:val="en-US" w:eastAsia="zh-CN"/>
        </w:rPr>
        <w:t>方面</w:t>
      </w:r>
      <w:r>
        <w:rPr>
          <w:rFonts w:hint="eastAsia"/>
          <w:lang w:eastAsia="zh-CN"/>
        </w:rPr>
        <w:t>仍有提升空间，</w:t>
      </w:r>
      <w:r>
        <w:rPr>
          <w:rFonts w:hint="eastAsia"/>
        </w:rPr>
        <w:t>文章若能结合实践困境</w:t>
      </w:r>
      <w:r>
        <w:rPr>
          <w:rFonts w:hint="eastAsia"/>
          <w:lang w:val="en-US" w:eastAsia="zh-CN"/>
        </w:rPr>
        <w:t>，</w:t>
      </w:r>
      <w:r>
        <w:rPr>
          <w:rFonts w:hint="eastAsia"/>
        </w:rPr>
        <w:t>系统性地</w:t>
      </w:r>
      <w:r>
        <w:rPr>
          <w:rFonts w:hint="eastAsia"/>
          <w:lang w:val="en-US" w:eastAsia="zh-CN"/>
        </w:rPr>
        <w:t>提出公益诉讼的介入机制与实现</w:t>
      </w:r>
      <w:r>
        <w:rPr>
          <w:rFonts w:hint="eastAsia"/>
        </w:rPr>
        <w:t>路径，将能为政策制定与</w:t>
      </w:r>
      <w:r>
        <w:rPr>
          <w:rFonts w:hint="eastAsia"/>
          <w:lang w:val="en-US" w:eastAsia="zh-CN"/>
        </w:rPr>
        <w:t>文化遗产保护</w:t>
      </w:r>
      <w:r>
        <w:rPr>
          <w:rFonts w:hint="eastAsia"/>
        </w:rPr>
        <w:t>实务提供有力参考。</w:t>
      </w:r>
    </w:p>
    <w:p w14:paraId="4F0E1E60">
      <w:pPr>
        <w:rPr>
          <w:rFonts w:hint="default"/>
          <w:lang w:val="en-US" w:eastAsia="zh-CN"/>
        </w:rPr>
      </w:pPr>
    </w:p>
    <w:p w14:paraId="6D0197BF">
      <w:pPr>
        <w:rPr>
          <w:rFonts w:hint="eastAsia"/>
        </w:rPr>
      </w:pPr>
      <w:r>
        <w:rPr>
          <w:rFonts w:hint="eastAsia"/>
          <w:lang w:val="en-US" w:eastAsia="zh-CN"/>
        </w:rPr>
        <w:t>二、</w:t>
      </w:r>
      <w:r>
        <w:rPr>
          <w:rFonts w:hint="eastAsia"/>
        </w:rPr>
        <w:t>不足之处</w:t>
      </w:r>
      <w:r>
        <w:rPr>
          <w:rFonts w:hint="eastAsia"/>
          <w:lang w:val="en-US" w:eastAsia="zh-CN"/>
        </w:rPr>
        <w:t>与修改意见：</w:t>
      </w:r>
    </w:p>
    <w:p w14:paraId="1AE95734">
      <w:pPr>
        <w:ind w:firstLine="420" w:firstLineChars="200"/>
        <w:rPr>
          <w:rFonts w:hint="eastAsia"/>
        </w:rPr>
      </w:pPr>
    </w:p>
    <w:p w14:paraId="0E3A8551">
      <w:pPr>
        <w:ind w:firstLine="420" w:firstLineChars="200"/>
        <w:rPr>
          <w:rFonts w:hint="default" w:eastAsiaTheme="minorEastAsia"/>
          <w:lang w:val="en-US" w:eastAsia="zh-CN"/>
        </w:rPr>
      </w:pPr>
      <w:r>
        <w:rPr>
          <w:rFonts w:hint="eastAsia"/>
        </w:rPr>
        <w:t>1.</w:t>
      </w:r>
      <w:r>
        <w:rPr>
          <w:rFonts w:hint="eastAsia"/>
          <w:lang w:val="en-US" w:eastAsia="zh-CN"/>
        </w:rPr>
        <w:t>文章摘要、关键词、引言部分的问题主要是学术规范问题，具体参见修订版文件。另外全文的学术规范问题都要注意。</w:t>
      </w:r>
    </w:p>
    <w:p w14:paraId="47D7CFB2">
      <w:pPr>
        <w:ind w:firstLine="420" w:firstLineChars="200"/>
        <w:rPr>
          <w:rFonts w:hint="eastAsia"/>
          <w:lang w:val="en-US" w:eastAsia="zh-CN"/>
        </w:rPr>
      </w:pPr>
    </w:p>
    <w:p w14:paraId="6974173F">
      <w:pPr>
        <w:numPr>
          <w:ilvl w:val="0"/>
          <w:numId w:val="1"/>
        </w:numPr>
        <w:ind w:firstLine="420" w:firstLineChars="200"/>
        <w:rPr>
          <w:rFonts w:hint="eastAsia"/>
          <w:lang w:val="en-US" w:eastAsia="zh-CN"/>
        </w:rPr>
      </w:pPr>
      <w:r>
        <w:rPr>
          <w:rFonts w:hint="eastAsia"/>
          <w:lang w:val="en-US" w:eastAsia="zh-CN"/>
        </w:rPr>
        <w:t>第二部分“案件详情与现实困境”，存在以下两个问题：（1）前文提到本案的特点是“行刑反向衔接”但是案例介绍中没有体现这一点，建议在案件简介中体现这一特点；（2）三个特征部分的风格更像新闻稿，缺少法学论文论证的学术性与规范性，</w:t>
      </w:r>
      <w:r>
        <w:rPr>
          <w:rFonts w:hint="eastAsia"/>
          <w:highlight w:val="yellow"/>
          <w:lang w:val="en-US" w:eastAsia="zh-CN"/>
        </w:rPr>
        <w:t>这部分请重点修改，</w:t>
      </w:r>
      <w:r>
        <w:rPr>
          <w:rFonts w:hint="eastAsia"/>
          <w:lang w:val="en-US" w:eastAsia="zh-CN"/>
        </w:rPr>
        <w:t>增强学术性。</w:t>
      </w:r>
    </w:p>
    <w:p w14:paraId="2832AA8B">
      <w:pPr>
        <w:widowControl w:val="0"/>
        <w:numPr>
          <w:numId w:val="0"/>
        </w:numPr>
        <w:jc w:val="both"/>
        <w:rPr>
          <w:rFonts w:hint="eastAsia"/>
          <w:lang w:val="en-US" w:eastAsia="zh-CN"/>
        </w:rPr>
      </w:pPr>
    </w:p>
    <w:p w14:paraId="500D5FD0">
      <w:pPr>
        <w:numPr>
          <w:ilvl w:val="0"/>
          <w:numId w:val="1"/>
        </w:numPr>
        <w:ind w:firstLine="420" w:firstLineChars="200"/>
        <w:rPr>
          <w:rFonts w:hint="eastAsia"/>
          <w:highlight w:val="none"/>
          <w:lang w:val="en-US" w:eastAsia="zh-CN"/>
        </w:rPr>
      </w:pPr>
      <w:r>
        <w:rPr>
          <w:rFonts w:hint="eastAsia"/>
          <w:highlight w:val="none"/>
          <w:lang w:val="en-US" w:eastAsia="zh-CN"/>
        </w:rPr>
        <w:t>第三部分“公益诉讼介入的法理基础和法律依据”之“法律依据”部分，只有述没有论，缺乏学术与法条之间的互动性，即只是简单的罗列《文物保护法》《民事诉讼法》《行政诉讼法》的条文，但规范背后的立法意图、体系关联与三者的关系均未予阐明，读者难以把握规范体系的整体构造，</w:t>
      </w:r>
      <w:r>
        <w:rPr>
          <w:rFonts w:hint="eastAsia"/>
          <w:color w:val="000000" w:themeColor="text1"/>
          <w:highlight w:val="yellow"/>
          <w:lang w:val="en-US" w:eastAsia="zh-CN"/>
          <w14:textFill>
            <w14:solidFill>
              <w14:schemeClr w14:val="tx1"/>
            </w14:solidFill>
          </w14:textFill>
        </w:rPr>
        <w:t>这部分请重点修改。</w:t>
      </w:r>
    </w:p>
    <w:p w14:paraId="282A8CAD">
      <w:pPr>
        <w:widowControl w:val="0"/>
        <w:numPr>
          <w:numId w:val="0"/>
        </w:numPr>
        <w:jc w:val="both"/>
        <w:rPr>
          <w:rFonts w:hint="eastAsia"/>
          <w:highlight w:val="none"/>
          <w:lang w:val="en-US" w:eastAsia="zh-CN"/>
        </w:rPr>
      </w:pPr>
    </w:p>
    <w:p w14:paraId="49AC696F">
      <w:pPr>
        <w:numPr>
          <w:ilvl w:val="0"/>
          <w:numId w:val="1"/>
        </w:numPr>
        <w:ind w:firstLine="420" w:firstLineChars="200"/>
        <w:rPr>
          <w:rFonts w:hint="eastAsia"/>
          <w:highlight w:val="none"/>
          <w:lang w:val="en-US" w:eastAsia="zh-CN"/>
        </w:rPr>
      </w:pPr>
      <w:r>
        <w:rPr>
          <w:rFonts w:hint="eastAsia"/>
          <w:highlight w:val="none"/>
          <w:lang w:val="en-US" w:eastAsia="zh-CN"/>
        </w:rPr>
        <w:t>第四部分“构建文物救济中公益诉讼介入的机制”存在三个问题：（1）没说清楚为什么文化遗产保护领域的公益诉讼要分为民事诉讼和行政诉讼？文中提到了文物保护的特殊性，是这个原因吗？哪里特殊呢？都没有论证清楚，</w:t>
      </w:r>
      <w:r>
        <w:rPr>
          <w:rFonts w:hint="eastAsia"/>
          <w:highlight w:val="yellow"/>
          <w:lang w:val="en-US" w:eastAsia="zh-CN"/>
        </w:rPr>
        <w:t>重点修改</w:t>
      </w:r>
      <w:r>
        <w:rPr>
          <w:rFonts w:hint="eastAsia"/>
          <w:highlight w:val="none"/>
          <w:lang w:val="en-US" w:eastAsia="zh-CN"/>
        </w:rPr>
        <w:t>。（2）有一个逻辑问题需要解释清楚，具体参见修订版文件（由于没标页码，以脚注序号来看应该在正文中脚注序号13那）。另外，这部分的标题需要与全文保持一致。</w:t>
      </w:r>
    </w:p>
    <w:p w14:paraId="7680A9FA">
      <w:pPr>
        <w:widowControl w:val="0"/>
        <w:numPr>
          <w:numId w:val="0"/>
        </w:numPr>
        <w:jc w:val="both"/>
        <w:rPr>
          <w:rFonts w:hint="eastAsia"/>
          <w:highlight w:val="none"/>
          <w:lang w:val="en-US" w:eastAsia="zh-CN"/>
        </w:rPr>
      </w:pPr>
    </w:p>
    <w:p w14:paraId="53E35042">
      <w:pPr>
        <w:numPr>
          <w:ilvl w:val="0"/>
          <w:numId w:val="1"/>
        </w:numPr>
        <w:ind w:firstLine="420" w:firstLineChars="200"/>
        <w:rPr>
          <w:rFonts w:hint="eastAsia"/>
          <w:highlight w:val="none"/>
          <w:lang w:val="en-US" w:eastAsia="zh-CN"/>
        </w:rPr>
      </w:pPr>
      <w:r>
        <w:rPr>
          <w:rFonts w:hint="eastAsia"/>
          <w:highlight w:val="none"/>
          <w:lang w:val="en-US" w:eastAsia="zh-CN"/>
        </w:rPr>
        <w:t>第五部分“文物救济中公益诉讼制度的完善建议”仅回应了第二部分“现实困境”中的问题，第四部分提到的介入机制在这一部分完全没有体现，建议增加民事与行政诉讼的衔接的内容，将案件总结上升为</w:t>
      </w:r>
      <w:r>
        <w:rPr>
          <w:rFonts w:hint="eastAsia"/>
          <w:highlight w:val="yellow"/>
          <w:lang w:val="en-US" w:eastAsia="zh-CN"/>
        </w:rPr>
        <w:t>“对应”</w:t>
      </w:r>
      <w:r>
        <w:rPr>
          <w:rFonts w:hint="eastAsia"/>
          <w:highlight w:val="none"/>
          <w:lang w:val="en-US" w:eastAsia="zh-CN"/>
        </w:rPr>
        <w:t>的制度构建。请作者自行决定加在本章的哪个部分。</w:t>
      </w:r>
    </w:p>
    <w:p w14:paraId="152B4E17">
      <w:pPr>
        <w:numPr>
          <w:numId w:val="0"/>
        </w:numPr>
        <w:rPr>
          <w:rFonts w:hint="eastAsia"/>
          <w:highlight w:val="none"/>
          <w:lang w:val="en-US" w:eastAsia="zh-CN"/>
        </w:rPr>
      </w:pPr>
    </w:p>
    <w:p w14:paraId="302A2566">
      <w:pPr>
        <w:numPr>
          <w:ilvl w:val="0"/>
          <w:numId w:val="1"/>
        </w:numPr>
        <w:ind w:firstLine="420" w:firstLineChars="200"/>
        <w:rPr>
          <w:rFonts w:hint="eastAsia"/>
          <w:highlight w:val="none"/>
          <w:lang w:val="en-US" w:eastAsia="zh-CN"/>
        </w:rPr>
      </w:pPr>
      <w:r>
        <w:rPr>
          <w:rFonts w:hint="eastAsia"/>
          <w:highlight w:val="none"/>
          <w:lang w:val="en-US" w:eastAsia="zh-CN"/>
        </w:rPr>
        <w:t>结语部分内容太多，删减，删减后全文字数请保持在10000字左右（前面还要修改一些内容，字数肯定够的，不要在这凑字数）。</w:t>
      </w:r>
    </w:p>
    <w:p w14:paraId="0719B40A">
      <w:pPr>
        <w:numPr>
          <w:numId w:val="0"/>
        </w:numPr>
        <w:rPr>
          <w:rFonts w:hint="eastAsia"/>
          <w:highlight w:val="none"/>
          <w:lang w:val="en-US" w:eastAsia="zh-CN"/>
        </w:rPr>
      </w:pPr>
    </w:p>
    <w:p w14:paraId="5A7BB71D">
      <w:pPr>
        <w:numPr>
          <w:ilvl w:val="0"/>
          <w:numId w:val="1"/>
        </w:numPr>
        <w:ind w:firstLine="420" w:firstLineChars="200"/>
        <w:rPr>
          <w:rFonts w:hint="eastAsia"/>
          <w:highlight w:val="none"/>
          <w:lang w:val="en-US" w:eastAsia="zh-CN"/>
        </w:rPr>
      </w:pPr>
      <w:r>
        <w:rPr>
          <w:rFonts w:hint="eastAsia"/>
          <w:highlight w:val="none"/>
          <w:lang w:val="en-US" w:eastAsia="zh-CN"/>
        </w:rPr>
        <w:t>请将参考文献以脚注的形式加到文章中。</w:t>
      </w:r>
    </w:p>
    <w:p w14:paraId="629FC0D9">
      <w:pPr>
        <w:numPr>
          <w:numId w:val="0"/>
        </w:numPr>
        <w:rPr>
          <w:rFonts w:hint="eastAsia"/>
          <w:highlight w:val="none"/>
          <w:lang w:val="en-US" w:eastAsia="zh-CN"/>
        </w:rPr>
      </w:pPr>
    </w:p>
    <w:p w14:paraId="2F73C726">
      <w:pPr>
        <w:numPr>
          <w:ilvl w:val="0"/>
          <w:numId w:val="1"/>
        </w:numPr>
        <w:ind w:firstLine="420" w:firstLineChars="200"/>
        <w:rPr>
          <w:rFonts w:hint="eastAsia"/>
          <w:highlight w:val="none"/>
          <w:lang w:val="en-US" w:eastAsia="zh-CN"/>
        </w:rPr>
      </w:pPr>
      <w:r>
        <w:rPr>
          <w:rFonts w:hint="eastAsia"/>
          <w:highlight w:val="none"/>
          <w:lang w:val="en-US" w:eastAsia="zh-CN"/>
        </w:rPr>
        <w:t>关于作者信息：（1）请确定杨老师（第一作者）的信息是否正确，</w:t>
      </w:r>
      <w:r>
        <w:rPr>
          <w:rFonts w:hint="eastAsia"/>
          <w:highlight w:val="yellow"/>
          <w:lang w:val="en-US" w:eastAsia="zh-CN"/>
        </w:rPr>
        <w:t>北京联合大学应用文理学院教授，硕士研究生导师，法学学科带头人，</w:t>
      </w:r>
      <w:r>
        <w:rPr>
          <w:rFonts w:hint="eastAsia"/>
          <w:highlight w:val="none"/>
          <w:lang w:val="en-US" w:eastAsia="zh-CN"/>
        </w:rPr>
        <w:t>如正确，请加在作者信息部分，请增加</w:t>
      </w:r>
      <w:bookmarkStart w:id="0" w:name="_GoBack"/>
      <w:bookmarkEnd w:id="0"/>
      <w:r>
        <w:rPr>
          <w:rFonts w:hint="eastAsia"/>
          <w:highlight w:val="none"/>
          <w:lang w:val="en-US" w:eastAsia="zh-CN"/>
        </w:rPr>
        <w:t>第二作者的研究方向；（2）请确定本文的通讯作者。</w:t>
      </w:r>
    </w:p>
    <w:p w14:paraId="4EEC4F8A">
      <w:pPr>
        <w:numPr>
          <w:numId w:val="0"/>
        </w:numPr>
        <w:rPr>
          <w:rFonts w:hint="default"/>
          <w:highlight w:val="none"/>
          <w:lang w:val="en-US" w:eastAsia="zh-CN"/>
        </w:rPr>
      </w:pPr>
      <w:r>
        <w:rPr>
          <w:rFonts w:hint="eastAsia"/>
          <w:highlight w:val="none"/>
          <w:lang w:val="en-US" w:eastAsia="zh-CN"/>
        </w:rPr>
        <w:t xml:space="preserve">                         </w:t>
      </w:r>
    </w:p>
    <w:p w14:paraId="0EBBE4A3">
      <w:pPr>
        <w:widowControl w:val="0"/>
        <w:numPr>
          <w:numId w:val="0"/>
        </w:numPr>
        <w:ind w:firstLine="420" w:firstLineChars="200"/>
        <w:jc w:val="both"/>
        <w:rPr>
          <w:rFonts w:hint="default"/>
          <w:highlight w:val="none"/>
          <w:lang w:val="en-US" w:eastAsia="zh-CN"/>
        </w:rPr>
      </w:pPr>
      <w:r>
        <w:rPr>
          <w:rFonts w:hint="eastAsia"/>
          <w:highlight w:val="none"/>
          <w:lang w:val="en-US" w:eastAsia="zh-CN"/>
        </w:rPr>
        <w:t>期待修改稿。</w:t>
      </w:r>
    </w:p>
    <w:p w14:paraId="6E99E0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仿宋-简"/>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2B7AA"/>
    <w:multiLevelType w:val="singleLevel"/>
    <w:tmpl w:val="FBF2B7AA"/>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9FEF7F"/>
    <w:rsid w:val="03FBC15E"/>
    <w:rsid w:val="78F2D1A7"/>
    <w:rsid w:val="BB9C5DE2"/>
    <w:rsid w:val="BFFA86E7"/>
    <w:rsid w:val="EEDDFD4D"/>
    <w:rsid w:val="FF9D91AC"/>
    <w:rsid w:val="FF9FE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2026-05-13T22:57:00Z</dcterms:created>
  <dc:creator>邢彤晖</dc:creator>
  <cp:lastModifiedBy>邢彤晖</cp:lastModifiedBy>
  <dcterms:modified xsi:type="dcterms:W3CDTF">2026-06-06T00:49:46Z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2DA9498B162A1A23F420046AEDCB789E_41</vt:lpwstr>
  </property>
</Properties>
</file>