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55E4F3">
      <w:pPr>
        <w:rPr>
          <w:rFonts w:hint="eastAsia"/>
        </w:rPr>
      </w:pPr>
      <w:r>
        <w:rPr>
          <w:rFonts w:hint="eastAsia"/>
        </w:rPr>
        <w:t>以下</w:t>
      </w:r>
      <w:r>
        <w:rPr>
          <w:rFonts w:hint="eastAsia"/>
          <w:lang w:val="en-US" w:eastAsia="zh-CN"/>
        </w:rPr>
        <w:t>是编辑部对</w:t>
      </w:r>
      <w:r>
        <w:rPr>
          <w:rFonts w:hint="eastAsia"/>
        </w:rPr>
        <w:t>《遗址型博物馆知识产权保护的理论困境与实践路径》一文的</w:t>
      </w:r>
      <w:r>
        <w:rPr>
          <w:rFonts w:hint="eastAsia"/>
          <w:lang w:val="en-US" w:eastAsia="zh-CN"/>
        </w:rPr>
        <w:t>审稿</w:t>
      </w:r>
      <w:r>
        <w:rPr>
          <w:rFonts w:hint="eastAsia"/>
        </w:rPr>
        <w:t>意见：</w:t>
      </w:r>
    </w:p>
    <w:p w14:paraId="0189E7FC">
      <w:pPr>
        <w:rPr>
          <w:rFonts w:hint="eastAsia"/>
        </w:rPr>
      </w:pPr>
    </w:p>
    <w:p w14:paraId="3FC404C1">
      <w:pPr>
        <w:rPr>
          <w:rFonts w:hint="eastAsia"/>
          <w:lang w:val="en-US" w:eastAsia="zh-CN"/>
        </w:rPr>
      </w:pPr>
      <w:r>
        <w:rPr>
          <w:rFonts w:hint="eastAsia"/>
          <w:lang w:val="en-US" w:eastAsia="zh-CN"/>
        </w:rPr>
        <w:t>一、总体评价：</w:t>
      </w:r>
    </w:p>
    <w:p w14:paraId="35330903">
      <w:pPr>
        <w:ind w:firstLine="420" w:firstLineChars="200"/>
        <w:rPr>
          <w:rFonts w:hint="eastAsia"/>
          <w:lang w:eastAsia="zh-CN"/>
        </w:rPr>
      </w:pPr>
      <w:r>
        <w:rPr>
          <w:rFonts w:hint="eastAsia"/>
        </w:rPr>
        <w:t>本文选题紧扣当前我国遗址型博物馆在文化创意产业大发展背景下所面临的核心法律与管理挑战，具有重要的理论价值与现实紧迫性</w:t>
      </w:r>
      <w:r>
        <w:rPr>
          <w:rFonts w:hint="eastAsia"/>
          <w:lang w:eastAsia="zh-CN"/>
        </w:rPr>
        <w:t>，</w:t>
      </w:r>
      <w:r>
        <w:rPr>
          <w:rFonts w:hint="eastAsia"/>
          <w:lang w:val="en-US" w:eastAsia="zh-CN"/>
        </w:rPr>
        <w:t>但</w:t>
      </w:r>
      <w:r>
        <w:rPr>
          <w:rFonts w:hint="eastAsia"/>
          <w:lang w:eastAsia="zh-CN"/>
        </w:rPr>
        <w:t>在理论深度、论证精细度</w:t>
      </w:r>
      <w:r>
        <w:rPr>
          <w:rFonts w:hint="eastAsia"/>
          <w:lang w:val="en-US" w:eastAsia="zh-CN"/>
        </w:rPr>
        <w:t>方面</w:t>
      </w:r>
      <w:r>
        <w:rPr>
          <w:rFonts w:hint="eastAsia"/>
          <w:lang w:eastAsia="zh-CN"/>
        </w:rPr>
        <w:t>仍有提升空间，</w:t>
      </w:r>
      <w:r>
        <w:rPr>
          <w:rFonts w:hint="eastAsia"/>
        </w:rPr>
        <w:t>文章若能结合实践困境</w:t>
      </w:r>
      <w:r>
        <w:rPr>
          <w:rFonts w:hint="eastAsia"/>
          <w:lang w:val="en-US" w:eastAsia="zh-CN"/>
        </w:rPr>
        <w:t>，</w:t>
      </w:r>
      <w:r>
        <w:rPr>
          <w:rFonts w:hint="eastAsia"/>
        </w:rPr>
        <w:t>系统性地剖析理论</w:t>
      </w:r>
      <w:r>
        <w:rPr>
          <w:rFonts w:hint="eastAsia"/>
          <w:lang w:val="en-US" w:eastAsia="zh-CN"/>
        </w:rPr>
        <w:t>基础</w:t>
      </w:r>
      <w:r>
        <w:rPr>
          <w:rFonts w:hint="eastAsia"/>
        </w:rPr>
        <w:t>并提出可行路径，将能为政策制定与博物馆实务提供有力参考。</w:t>
      </w:r>
    </w:p>
    <w:p w14:paraId="4F0E1E60">
      <w:pPr>
        <w:rPr>
          <w:rFonts w:hint="default"/>
          <w:lang w:val="en-US" w:eastAsia="zh-CN"/>
        </w:rPr>
      </w:pPr>
    </w:p>
    <w:p w14:paraId="6D0197BF">
      <w:pPr>
        <w:rPr>
          <w:rFonts w:hint="eastAsia"/>
        </w:rPr>
      </w:pPr>
      <w:r>
        <w:rPr>
          <w:rFonts w:hint="eastAsia"/>
          <w:lang w:val="en-US" w:eastAsia="zh-CN"/>
        </w:rPr>
        <w:t>二、</w:t>
      </w:r>
      <w:r>
        <w:rPr>
          <w:rFonts w:hint="eastAsia"/>
        </w:rPr>
        <w:t>不足之处</w:t>
      </w:r>
      <w:r>
        <w:rPr>
          <w:rFonts w:hint="eastAsia"/>
          <w:lang w:val="en-US" w:eastAsia="zh-CN"/>
        </w:rPr>
        <w:t>与修改意见：</w:t>
      </w:r>
    </w:p>
    <w:p w14:paraId="1AE95734">
      <w:pPr>
        <w:ind w:firstLine="420" w:firstLineChars="200"/>
        <w:rPr>
          <w:rFonts w:hint="eastAsia"/>
        </w:rPr>
      </w:pPr>
    </w:p>
    <w:p w14:paraId="0E3A8551">
      <w:pPr>
        <w:ind w:firstLine="420" w:firstLineChars="200"/>
        <w:rPr>
          <w:rFonts w:hint="default" w:eastAsiaTheme="minorEastAsia"/>
          <w:lang w:val="en-US" w:eastAsia="zh-CN"/>
        </w:rPr>
      </w:pPr>
      <w:r>
        <w:rPr>
          <w:rFonts w:hint="eastAsia"/>
        </w:rPr>
        <w:t>1.</w:t>
      </w:r>
      <w:r>
        <w:rPr>
          <w:rFonts w:hint="eastAsia"/>
          <w:lang w:val="en-US" w:eastAsia="zh-CN"/>
        </w:rPr>
        <w:t>文章摘要将遗址型博物馆</w:t>
      </w:r>
      <w:r>
        <w:rPr>
          <w:rFonts w:hint="eastAsia"/>
        </w:rPr>
        <w:t>知识产权保护面临</w:t>
      </w:r>
      <w:r>
        <w:rPr>
          <w:rFonts w:hint="eastAsia"/>
          <w:lang w:val="en-US" w:eastAsia="zh-CN"/>
        </w:rPr>
        <w:t>的</w:t>
      </w:r>
      <w:r>
        <w:rPr>
          <w:rFonts w:hint="eastAsia"/>
        </w:rPr>
        <w:t>困境</w:t>
      </w:r>
      <w:r>
        <w:rPr>
          <w:rFonts w:hint="eastAsia"/>
          <w:lang w:val="en-US" w:eastAsia="zh-CN"/>
        </w:rPr>
        <w:t>概括为“客体”和“主体”两个方面，但是第一章的二级标题是法律特征？小标题没能与摘要相对应，建议修改“（一）出土文物作为知识产权权利客体的法律特征”这个标题。</w:t>
      </w:r>
    </w:p>
    <w:p w14:paraId="47D7CFB2">
      <w:pPr>
        <w:ind w:firstLine="420" w:firstLineChars="200"/>
        <w:rPr>
          <w:rFonts w:hint="eastAsia"/>
          <w:lang w:val="en-US" w:eastAsia="zh-CN"/>
        </w:rPr>
      </w:pPr>
    </w:p>
    <w:p w14:paraId="55764528">
      <w:pPr>
        <w:ind w:firstLine="420" w:firstLineChars="200"/>
        <w:rPr>
          <w:rFonts w:hint="eastAsia"/>
          <w:highlight w:val="none"/>
          <w:lang w:val="en-US" w:eastAsia="zh-CN"/>
        </w:rPr>
      </w:pPr>
      <w:r>
        <w:rPr>
          <w:rFonts w:hint="eastAsia"/>
          <w:lang w:val="en-US" w:eastAsia="zh-CN"/>
        </w:rPr>
        <w:t>2.文章各章节间的逻辑性不强，内容有点跳跃，需要加强论证的逻辑性与精细度，如：第一章和第二章之间，第一章写存在哪些问题，第二章直接给出了规范机理，但是没把为什么要这样规范说清楚（可能第二章里有只言片语的提到），但</w:t>
      </w:r>
      <w:r>
        <w:rPr>
          <w:rFonts w:hint="eastAsia"/>
          <w:highlight w:val="none"/>
          <w:lang w:val="en-US" w:eastAsia="zh-CN"/>
        </w:rPr>
        <w:t>是这个问题应该系统性的论证一下，即为什么要采用/如何得出这样的规范机理，增强文章的理论基础。（其实文章最后的治理价值变化可以用来说明这个问题；文章引言中提到的“遗址资源的</w:t>
      </w:r>
      <w:r>
        <w:rPr>
          <w:highlight w:val="none"/>
        </w:rPr>
        <w:t>文化价值与经济价值相互嵌合的复合型权益结构</w:t>
      </w:r>
      <w:r>
        <w:rPr>
          <w:rFonts w:hint="eastAsia"/>
          <w:highlight w:val="none"/>
          <w:lang w:val="en-US" w:eastAsia="zh-CN"/>
        </w:rPr>
        <w:t>进一步凸显”“</w:t>
      </w:r>
      <w:r>
        <w:rPr>
          <w:rFonts w:hint="eastAsia"/>
          <w:highlight w:val="none"/>
        </w:rPr>
        <w:t>运作需在公共性、开放性与竞争秩序之间寻求平衡</w:t>
      </w:r>
      <w:r>
        <w:rPr>
          <w:rFonts w:hint="eastAsia"/>
          <w:highlight w:val="none"/>
          <w:lang w:eastAsia="zh-CN"/>
        </w:rPr>
        <w:t>”</w:t>
      </w:r>
      <w:r>
        <w:rPr>
          <w:rFonts w:hint="eastAsia"/>
          <w:highlight w:val="none"/>
          <w:lang w:val="en-US" w:eastAsia="zh-CN"/>
        </w:rPr>
        <w:t>也可以用来解释这个问题。本括号内的内容只是举例不是具体建议）</w:t>
      </w:r>
    </w:p>
    <w:p w14:paraId="752F5015">
      <w:pPr>
        <w:ind w:firstLine="420" w:firstLineChars="200"/>
        <w:rPr>
          <w:rFonts w:hint="eastAsia"/>
          <w:lang w:val="en-US" w:eastAsia="zh-CN"/>
        </w:rPr>
      </w:pPr>
    </w:p>
    <w:p w14:paraId="3AA40A20">
      <w:pPr>
        <w:ind w:firstLine="420" w:firstLineChars="200"/>
        <w:rPr>
          <w:rFonts w:hint="default"/>
          <w:lang w:val="en-US" w:eastAsia="zh-CN"/>
        </w:rPr>
      </w:pPr>
      <w:r>
        <w:rPr>
          <w:rFonts w:hint="eastAsia"/>
          <w:lang w:val="en-US" w:eastAsia="zh-CN"/>
        </w:rPr>
        <w:t>3.文章第二章和第三章之间的关系比较混乱。从摘要来看，（1）</w:t>
      </w:r>
      <w:r>
        <w:rPr>
          <w:rFonts w:hint="eastAsia"/>
        </w:rPr>
        <w:t>完善文物衍生品的知识产权</w:t>
      </w:r>
      <w:r>
        <w:rPr>
          <w:rFonts w:hint="eastAsia"/>
          <w:lang w:val="en-US" w:eastAsia="zh-CN"/>
        </w:rPr>
        <w:t>专有权</w:t>
      </w:r>
      <w:r>
        <w:rPr>
          <w:rFonts w:hint="eastAsia"/>
        </w:rPr>
        <w:t>确权体系</w:t>
      </w:r>
      <w:r>
        <w:rPr>
          <w:rFonts w:hint="eastAsia"/>
          <w:lang w:eastAsia="zh-CN"/>
        </w:rPr>
        <w:t>；（</w:t>
      </w:r>
      <w:r>
        <w:rPr>
          <w:rFonts w:hint="eastAsia"/>
          <w:lang w:val="en-US" w:eastAsia="zh-CN"/>
        </w:rPr>
        <w:t>2</w:t>
      </w:r>
      <w:r>
        <w:rPr>
          <w:rFonts w:hint="eastAsia"/>
          <w:lang w:eastAsia="zh-CN"/>
        </w:rPr>
        <w:t>）</w:t>
      </w:r>
      <w:r>
        <w:rPr>
          <w:rFonts w:hint="eastAsia"/>
          <w:lang w:val="en-US" w:eastAsia="zh-CN"/>
        </w:rPr>
        <w:t>补充专有</w:t>
      </w:r>
      <w:r>
        <w:rPr>
          <w:rFonts w:hint="eastAsia"/>
        </w:rPr>
        <w:t>权利与竞争</w:t>
      </w:r>
      <w:r>
        <w:rPr>
          <w:rFonts w:hint="eastAsia"/>
          <w:lang w:val="en-US" w:eastAsia="zh-CN"/>
        </w:rPr>
        <w:t>性</w:t>
      </w:r>
      <w:r>
        <w:rPr>
          <w:rFonts w:hint="eastAsia"/>
        </w:rPr>
        <w:t>利益</w:t>
      </w:r>
      <w:r>
        <w:rPr>
          <w:rFonts w:hint="eastAsia"/>
          <w:lang w:val="en-US" w:eastAsia="zh-CN"/>
        </w:rPr>
        <w:t>的</w:t>
      </w:r>
      <w:r>
        <w:rPr>
          <w:rFonts w:hint="eastAsia"/>
        </w:rPr>
        <w:t>区分保护机制</w:t>
      </w:r>
      <w:r>
        <w:rPr>
          <w:rFonts w:hint="eastAsia"/>
          <w:lang w:eastAsia="zh-CN"/>
        </w:rPr>
        <w:t>；（</w:t>
      </w:r>
      <w:r>
        <w:rPr>
          <w:rFonts w:hint="eastAsia"/>
          <w:lang w:val="en-US" w:eastAsia="zh-CN"/>
        </w:rPr>
        <w:t>3</w:t>
      </w:r>
      <w:r>
        <w:rPr>
          <w:rFonts w:hint="eastAsia"/>
          <w:lang w:eastAsia="zh-CN"/>
        </w:rPr>
        <w:t>）</w:t>
      </w:r>
      <w:r>
        <w:rPr>
          <w:rFonts w:hint="eastAsia"/>
          <w:lang w:val="en-US" w:eastAsia="zh-CN"/>
        </w:rPr>
        <w:t>构建体系化的管理制度与价值导向，这三个解决方案是同一层级的，但是从文章的具体内容看，却把（1）（2）将为二级标题，归入第二章规范机理，（3）单独作为第三章。所以这三者究竟是同一层级的，还是（3）是作为规范机理[（1）（2）]的进一步延伸？</w:t>
      </w:r>
    </w:p>
    <w:p w14:paraId="0FF95AD7">
      <w:pPr>
        <w:ind w:firstLine="420" w:firstLineChars="200"/>
        <w:rPr>
          <w:rFonts w:hint="eastAsia"/>
          <w:lang w:val="en-US" w:eastAsia="zh-CN"/>
        </w:rPr>
      </w:pPr>
    </w:p>
    <w:p w14:paraId="4F786D9D">
      <w:pPr>
        <w:ind w:firstLine="420" w:firstLineChars="200"/>
        <w:rPr>
          <w:rFonts w:hint="eastAsia"/>
          <w:lang w:val="en-US" w:eastAsia="zh-CN"/>
        </w:rPr>
      </w:pPr>
      <w:r>
        <w:rPr>
          <w:rFonts w:hint="eastAsia"/>
          <w:lang w:val="en-US" w:eastAsia="zh-CN"/>
        </w:rPr>
        <w:t>4.一般情况下，</w:t>
      </w:r>
      <w:r>
        <w:rPr>
          <w:rFonts w:hint="eastAsia"/>
          <w:highlight w:val="yellow"/>
          <w:lang w:val="en-US" w:eastAsia="zh-CN"/>
        </w:rPr>
        <w:t>问题解决类法学论文</w:t>
      </w:r>
      <w:r>
        <w:rPr>
          <w:rFonts w:hint="eastAsia"/>
          <w:lang w:val="en-US" w:eastAsia="zh-CN"/>
        </w:rPr>
        <w:t>论证到最后是把各项路径</w:t>
      </w:r>
      <w:r>
        <w:rPr>
          <w:rFonts w:hint="eastAsia"/>
          <w:highlight w:val="yellow"/>
          <w:lang w:val="en-US" w:eastAsia="zh-CN"/>
        </w:rPr>
        <w:t>细化</w:t>
      </w:r>
      <w:r>
        <w:rPr>
          <w:rFonts w:hint="eastAsia"/>
          <w:lang w:val="en-US" w:eastAsia="zh-CN"/>
        </w:rPr>
        <w:t>为具体制度，抽象度递减，规范性递增。具体到本文，第三章的内容应该是针对第一章的问题把第二章的规范机理进行细化，所以本文第三章存在两个结构性的问题：</w:t>
      </w:r>
    </w:p>
    <w:p w14:paraId="70E0CB11">
      <w:pPr>
        <w:ind w:firstLine="420" w:firstLineChars="200"/>
        <w:rPr>
          <w:rFonts w:hint="default"/>
          <w:lang w:val="en-US" w:eastAsia="zh-CN"/>
        </w:rPr>
      </w:pPr>
      <w:r>
        <w:rPr>
          <w:rFonts w:hint="eastAsia"/>
          <w:lang w:val="en-US" w:eastAsia="zh-CN"/>
        </w:rPr>
        <w:t>（1）第（一）节知识产权管理流程化的内容在论述过程中要注意和第一章的困境、第二章的规范机理的内容相对应或呼应，否则会显得很突兀。这一节内容比较完整，但是“流程化”如何在结</w:t>
      </w:r>
      <w:r>
        <w:rPr>
          <w:rFonts w:hint="eastAsia"/>
          <w:highlight w:val="none"/>
          <w:lang w:val="en-US" w:eastAsia="zh-CN"/>
        </w:rPr>
        <w:t>构上</w:t>
      </w:r>
      <w:r>
        <w:rPr>
          <w:rFonts w:hint="eastAsia"/>
          <w:lang w:val="en-US" w:eastAsia="zh-CN"/>
        </w:rPr>
        <w:t>与前两章匹配，可以进一步思考。</w:t>
      </w:r>
    </w:p>
    <w:p w14:paraId="7215733C">
      <w:pPr>
        <w:ind w:firstLine="420" w:firstLineChars="200"/>
        <w:rPr>
          <w:rFonts w:hint="default"/>
          <w:lang w:val="en-US" w:eastAsia="zh-CN"/>
        </w:rPr>
      </w:pPr>
      <w:r>
        <w:rPr>
          <w:rFonts w:hint="eastAsia"/>
          <w:lang w:val="en-US" w:eastAsia="zh-CN"/>
        </w:rPr>
        <w:t>（2）第（二）节知识产权“治理价值转向”放在问题解决类法学论文的结尾不是很合适。这种价值选择问题其实很适合放在文章前面，用来论述为什么会选择第二章的规范机理，不过在论述过程中，要注意论述的层次。</w:t>
      </w:r>
    </w:p>
    <w:p w14:paraId="1BE6CF67">
      <w:pPr>
        <w:ind w:firstLine="420" w:firstLineChars="200"/>
        <w:rPr>
          <w:rFonts w:hint="eastAsia"/>
          <w:lang w:val="en-US" w:eastAsia="zh-CN"/>
        </w:rPr>
      </w:pPr>
    </w:p>
    <w:p w14:paraId="69E8CA67">
      <w:pPr>
        <w:ind w:firstLine="420" w:firstLineChars="200"/>
        <w:rPr>
          <w:rFonts w:hint="eastAsia"/>
          <w:lang w:val="en-US" w:eastAsia="zh-CN"/>
        </w:rPr>
      </w:pPr>
    </w:p>
    <w:p w14:paraId="4F46285E">
      <w:pPr>
        <w:ind w:firstLine="420" w:firstLineChars="200"/>
        <w:rPr>
          <w:rFonts w:hint="default"/>
          <w:lang w:val="en-US" w:eastAsia="zh-CN"/>
        </w:rPr>
      </w:pPr>
    </w:p>
    <w:p w14:paraId="508C9FF1">
      <w:pPr>
        <w:ind w:firstLine="420" w:firstLineChars="200"/>
        <w:rPr>
          <w:rFonts w:hint="eastAsi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等线 Light">
    <w:altName w:val="汉仪中等线KW"/>
    <w:panose1 w:val="02010600030101010101"/>
    <w:charset w:val="86"/>
    <w:family w:val="auto"/>
    <w:pitch w:val="default"/>
    <w:sig w:usb0="00000000" w:usb1="00000000" w:usb2="00000016" w:usb3="00000000" w:csb0="0004000F" w:csb1="00000000"/>
  </w:font>
  <w:font w:name="等线 Light">
    <w:altName w:val="汉仪中等线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8BB"/>
    <w:rsid w:val="003C18BB"/>
    <w:rsid w:val="004E2B9F"/>
    <w:rsid w:val="005A3D60"/>
    <w:rsid w:val="006200CD"/>
    <w:rsid w:val="008611E6"/>
    <w:rsid w:val="00A64CA9"/>
    <w:rsid w:val="00A677ED"/>
    <w:rsid w:val="00CF26A6"/>
    <w:rsid w:val="00D43CCE"/>
    <w:rsid w:val="7B6F4E76"/>
    <w:rsid w:val="7D7F0A39"/>
    <w:rsid w:val="B9B28E1B"/>
    <w:rsid w:val="F7CFA7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6"/>
    <w:unhideWhenUsed/>
    <w:uiPriority w:val="99"/>
    <w:pPr>
      <w:tabs>
        <w:tab w:val="center" w:pos="4153"/>
        <w:tab w:val="right" w:pos="8306"/>
      </w:tabs>
      <w:snapToGrid w:val="0"/>
      <w:jc w:val="left"/>
    </w:pPr>
    <w:rPr>
      <w:sz w:val="18"/>
      <w:szCs w:val="18"/>
    </w:rPr>
  </w:style>
  <w:style w:type="paragraph" w:styleId="12">
    <w:name w:val="header"/>
    <w:basedOn w:val="1"/>
    <w:link w:val="35"/>
    <w:unhideWhenUsed/>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uiPriority w:val="9"/>
    <w:rPr>
      <w:rFonts w:cstheme="majorBidi"/>
      <w:color w:val="104862" w:themeColor="accent1" w:themeShade="BF"/>
      <w:sz w:val="28"/>
      <w:szCs w:val="28"/>
    </w:rPr>
  </w:style>
  <w:style w:type="character" w:customStyle="1" w:styleId="21">
    <w:name w:val="标题 5 字符"/>
    <w:basedOn w:val="16"/>
    <w:link w:val="6"/>
    <w:semiHidden/>
    <w:uiPriority w:val="9"/>
    <w:rPr>
      <w:rFonts w:cstheme="majorBidi"/>
      <w:color w:val="104862" w:themeColor="accent1" w:themeShade="BF"/>
      <w:sz w:val="24"/>
      <w:szCs w:val="24"/>
    </w:rPr>
  </w:style>
  <w:style w:type="character" w:customStyle="1" w:styleId="22">
    <w:name w:val="标题 6 字符"/>
    <w:basedOn w:val="16"/>
    <w:link w:val="7"/>
    <w:semiHidden/>
    <w:uiPriority w:val="9"/>
    <w:rPr>
      <w:rFonts w:cstheme="majorBidi"/>
      <w:b/>
      <w:bCs/>
      <w:color w:val="104862" w:themeColor="accent1" w:themeShade="BF"/>
    </w:rPr>
  </w:style>
  <w:style w:type="character" w:customStyle="1" w:styleId="23">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uiPriority w:val="99"/>
    <w:rPr>
      <w:sz w:val="18"/>
      <w:szCs w:val="18"/>
    </w:rPr>
  </w:style>
  <w:style w:type="character" w:customStyle="1" w:styleId="36">
    <w:name w:val="页脚 字符"/>
    <w:basedOn w:val="16"/>
    <w:link w:val="11"/>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433</Words>
  <Characters>438</Characters>
  <Lines>14</Lines>
  <Paragraphs>4</Paragraphs>
  <TotalTime>42</TotalTime>
  <ScaleCrop>false</ScaleCrop>
  <LinksUpToDate>false</LinksUpToDate>
  <CharactersWithSpaces>867</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2026-03-21T12:35:00Z</dcterms:created>
  <dc:creator>怡迪 王</dc:creator>
  <cp:lastModifiedBy>邢彤晖</cp:lastModifiedBy>
  <dcterms:modified xsi:type="dcterms:W3CDTF">2026-04-05T21:21:51Z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A992EDD0B6ED607B3873CC697BE6CC5E_42</vt:lpwstr>
  </property>
</Properties>
</file>