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ascii="宋体" w:hAnsi="宋体" w:eastAsia="宋体" w:cs="宋体"/>
          <w:b/>
          <w:bCs/>
          <w:sz w:val="28"/>
          <w:szCs w:val="28"/>
        </w:rPr>
        <w:t>经Thumper®复苏后的心脏停搏综合征29例血气分析</w:t>
      </w:r>
    </w:p>
    <w:p>
      <w:pPr>
        <w:spacing w:line="360" w:lineRule="auto"/>
        <w:jc w:val="center"/>
        <w:rPr>
          <w:rFonts w:hint="eastAsia" w:ascii="宋体" w:hAnsi="宋体" w:eastAsia="宋体" w:cs="宋体"/>
          <w:sz w:val="21"/>
          <w:szCs w:val="21"/>
          <w:vertAlign w:val="superscript"/>
          <w:lang w:val="en-US" w:eastAsia="zh-CN"/>
        </w:rPr>
      </w:pPr>
      <w:bookmarkStart w:id="0" w:name="OLE_LINK4"/>
      <w:bookmarkStart w:id="1" w:name="OLE_LINK3"/>
      <w:r>
        <w:rPr>
          <w:rFonts w:hint="eastAsia" w:ascii="宋体" w:hAnsi="宋体" w:eastAsia="宋体" w:cs="宋体"/>
          <w:sz w:val="21"/>
          <w:szCs w:val="21"/>
        </w:rPr>
        <w:t>田佳佳，宋莉莉，高兴斌</w:t>
      </w:r>
      <w:r>
        <w:rPr>
          <w:rFonts w:hint="eastAsia" w:ascii="宋体" w:hAnsi="宋体" w:eastAsia="宋体" w:cs="宋体"/>
          <w:sz w:val="21"/>
          <w:szCs w:val="21"/>
          <w:vertAlign w:val="superscript"/>
          <w:lang w:val="en-US" w:eastAsia="zh-CN"/>
        </w:rPr>
        <w:t>*</w:t>
      </w:r>
    </w:p>
    <w:p>
      <w:pPr>
        <w:spacing w:line="360" w:lineRule="auto"/>
        <w:jc w:val="center"/>
        <w:rPr>
          <w:rFonts w:hint="eastAsia" w:ascii="宋体" w:hAnsi="宋体" w:eastAsia="宋体" w:cs="宋体"/>
          <w:sz w:val="21"/>
          <w:szCs w:val="21"/>
          <w:vertAlign w:val="superscript"/>
        </w:rPr>
      </w:pP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山东省第一医科大学附属青州医院急诊科，山东省青州市（262500）</w:t>
      </w:r>
    </w:p>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田佳佳，邮箱：</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宋莉莉，邮箱：</w:t>
      </w:r>
    </w:p>
    <w:p>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*通讯作者：</w:t>
      </w:r>
      <w:r>
        <w:rPr>
          <w:rFonts w:hint="eastAsia" w:ascii="宋体" w:hAnsi="宋体" w:eastAsia="宋体" w:cs="宋体"/>
          <w:sz w:val="21"/>
          <w:szCs w:val="21"/>
        </w:rPr>
        <w:t>高兴斌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邮箱：</w:t>
      </w:r>
    </w:p>
    <w:p>
      <w:pPr>
        <w:spacing w:line="360" w:lineRule="auto"/>
        <w:jc w:val="center"/>
        <w:rPr>
          <w:rFonts w:hint="eastAsia" w:ascii="宋体" w:hAnsi="宋体" w:eastAsia="宋体" w:cs="宋体"/>
          <w:sz w:val="21"/>
          <w:szCs w:val="21"/>
          <w:lang w:val="en-US" w:eastAsia="zh-CN"/>
        </w:rPr>
      </w:pPr>
    </w:p>
    <w:bookmarkEnd w:id="0"/>
    <w:bookmarkEnd w:id="1"/>
    <w:p>
      <w:pPr>
        <w:spacing w:line="240" w:lineRule="auto"/>
        <w:rPr>
          <w:rFonts w:hint="eastAsia" w:ascii="宋体" w:hAnsi="宋体" w:eastAsia="宋体" w:cs="宋体"/>
          <w:sz w:val="21"/>
          <w:szCs w:val="21"/>
        </w:rPr>
      </w:pPr>
      <w:r>
        <w:rPr>
          <w:rFonts w:hint="eastAsia" w:ascii="宋体" w:hAnsi="宋体" w:eastAsia="宋体" w:cs="宋体"/>
          <w:b/>
          <w:sz w:val="21"/>
        </w:rPr>
        <w:t>【摘要】</w:t>
      </w:r>
      <w:r>
        <w:rPr>
          <w:rFonts w:hint="eastAsia" w:ascii="宋体" w:hAnsi="宋体" w:eastAsia="宋体" w:cs="宋体"/>
          <w:b/>
          <w:sz w:val="21"/>
          <w:szCs w:val="21"/>
        </w:rPr>
        <w:t xml:space="preserve">目的 </w:t>
      </w:r>
      <w:r>
        <w:rPr>
          <w:rFonts w:hint="eastAsia" w:ascii="宋体" w:hAnsi="宋体" w:eastAsia="宋体" w:cs="宋体"/>
          <w:sz w:val="21"/>
          <w:szCs w:val="21"/>
        </w:rPr>
        <w:t>研究经</w:t>
      </w:r>
      <w:r>
        <w:rPr>
          <w:rFonts w:hint="eastAsia" w:ascii="宋体" w:hAnsi="宋体" w:eastAsia="宋体" w:cs="宋体"/>
          <w:kern w:val="0"/>
          <w:sz w:val="21"/>
          <w:szCs w:val="21"/>
        </w:rPr>
        <w:t>Thumper®-1007 CPR机复苏后的</w:t>
      </w:r>
      <w:r>
        <w:rPr>
          <w:rFonts w:hint="eastAsia" w:ascii="宋体" w:hAnsi="宋体" w:eastAsia="宋体" w:cs="宋体"/>
          <w:sz w:val="21"/>
          <w:szCs w:val="21"/>
        </w:rPr>
        <w:t>心脏停搏后综合征（post-cardiac arrest syndrome,PCAS）的血气分析结果。</w:t>
      </w:r>
      <w:r>
        <w:rPr>
          <w:rFonts w:hint="eastAsia" w:ascii="宋体" w:hAnsi="宋体" w:eastAsia="宋体" w:cs="宋体"/>
          <w:b/>
          <w:sz w:val="21"/>
          <w:szCs w:val="21"/>
        </w:rPr>
        <w:t>方法</w:t>
      </w:r>
      <w:r>
        <w:rPr>
          <w:rFonts w:hint="eastAsia" w:ascii="宋体" w:hAnsi="宋体" w:eastAsia="宋体" w:cs="宋体"/>
          <w:sz w:val="21"/>
          <w:szCs w:val="21"/>
        </w:rPr>
        <w:t xml:space="preserve"> 对29例用</w:t>
      </w:r>
      <w:r>
        <w:rPr>
          <w:rFonts w:hint="eastAsia" w:ascii="宋体" w:hAnsi="宋体" w:eastAsia="宋体" w:cs="宋体"/>
          <w:kern w:val="0"/>
          <w:sz w:val="21"/>
          <w:szCs w:val="21"/>
        </w:rPr>
        <w:t>Thumper®-1007CPR机</w:t>
      </w:r>
      <w:r>
        <w:rPr>
          <w:rFonts w:hint="eastAsia" w:ascii="宋体" w:hAnsi="宋体" w:eastAsia="宋体" w:cs="宋体"/>
          <w:sz w:val="21"/>
          <w:szCs w:val="21"/>
        </w:rPr>
        <w:t>复苏后</w:t>
      </w:r>
      <w:r>
        <w:rPr>
          <w:rFonts w:hint="eastAsia" w:ascii="宋体" w:hAnsi="宋体" w:eastAsia="宋体" w:cs="宋体"/>
          <w:kern w:val="0"/>
          <w:sz w:val="21"/>
          <w:szCs w:val="21"/>
        </w:rPr>
        <w:t>PCAS患者</w:t>
      </w:r>
      <w:r>
        <w:rPr>
          <w:rFonts w:hint="eastAsia" w:ascii="宋体" w:hAnsi="宋体" w:eastAsia="宋体" w:cs="宋体"/>
          <w:sz w:val="21"/>
          <w:szCs w:val="21"/>
        </w:rPr>
        <w:t>的血气分析结果进行了研究，与实施徒手心肺复苏术的患者20例作为对照。比较两组动脉血气分析。</w:t>
      </w:r>
      <w:r>
        <w:rPr>
          <w:rFonts w:hint="eastAsia" w:ascii="宋体" w:hAnsi="宋体" w:eastAsia="宋体" w:cs="宋体"/>
          <w:b/>
          <w:sz w:val="21"/>
          <w:szCs w:val="21"/>
        </w:rPr>
        <w:t xml:space="preserve">结果 </w:t>
      </w:r>
      <w:r>
        <w:rPr>
          <w:rFonts w:hint="eastAsia" w:ascii="宋体" w:hAnsi="宋体" w:eastAsia="宋体" w:cs="宋体"/>
          <w:kern w:val="0"/>
          <w:sz w:val="21"/>
          <w:szCs w:val="21"/>
        </w:rPr>
        <w:t>实验组的动脉血</w:t>
      </w:r>
      <w:r>
        <w:rPr>
          <w:rFonts w:hint="eastAsia" w:ascii="宋体" w:hAnsi="宋体" w:eastAsia="宋体" w:cs="宋体"/>
          <w:sz w:val="21"/>
          <w:szCs w:val="21"/>
        </w:rPr>
        <w:t>氧分压度Pao</w:t>
      </w:r>
      <w:r>
        <w:rPr>
          <w:rFonts w:hint="eastAsia" w:ascii="宋体" w:hAnsi="宋体" w:eastAsia="宋体" w:cs="宋体"/>
          <w:sz w:val="21"/>
          <w:szCs w:val="21"/>
          <w:vertAlign w:val="subscript"/>
        </w:rPr>
        <w:t>2</w:t>
      </w:r>
      <w:r>
        <w:rPr>
          <w:rFonts w:hint="eastAsia" w:ascii="宋体" w:hAnsi="宋体" w:eastAsia="宋体" w:cs="宋体"/>
          <w:sz w:val="21"/>
          <w:szCs w:val="21"/>
        </w:rPr>
        <w:t>、血氧饱和度</w:t>
      </w:r>
      <w:r>
        <w:rPr>
          <w:rFonts w:hint="eastAsia" w:ascii="宋体" w:hAnsi="宋体" w:eastAsia="宋体" w:cs="宋体"/>
          <w:sz w:val="21"/>
          <w:szCs w:val="21"/>
          <w:lang w:val="en-US" w:eastAsia="zh-CN"/>
        </w:rPr>
        <w:t>S</w:t>
      </w:r>
      <w:r>
        <w:rPr>
          <w:rFonts w:hint="eastAsia" w:ascii="宋体" w:hAnsi="宋体" w:eastAsia="宋体" w:cs="宋体"/>
          <w:sz w:val="21"/>
          <w:szCs w:val="21"/>
        </w:rPr>
        <w:t>a</w:t>
      </w:r>
      <w:r>
        <w:rPr>
          <w:rFonts w:hint="eastAsia" w:ascii="宋体" w:hAnsi="宋体" w:eastAsia="宋体" w:cs="宋体"/>
          <w:sz w:val="21"/>
          <w:szCs w:val="21"/>
          <w:lang w:val="en-US" w:eastAsia="zh-CN"/>
        </w:rPr>
        <w:t>O</w:t>
      </w:r>
      <w:r>
        <w:rPr>
          <w:rFonts w:hint="eastAsia" w:ascii="宋体" w:hAnsi="宋体" w:eastAsia="宋体" w:cs="宋体"/>
          <w:sz w:val="21"/>
          <w:szCs w:val="21"/>
          <w:vertAlign w:val="subscript"/>
        </w:rPr>
        <w:t>２</w:t>
      </w:r>
      <w:r>
        <w:rPr>
          <w:rFonts w:hint="eastAsia" w:ascii="宋体" w:hAnsi="宋体" w:eastAsia="宋体" w:cs="宋体"/>
          <w:sz w:val="21"/>
          <w:szCs w:val="21"/>
        </w:rPr>
        <w:t>较人工组高(</w:t>
      </w:r>
      <w:r>
        <w:rPr>
          <w:rFonts w:hint="eastAsia" w:ascii="宋体" w:hAnsi="宋体" w:eastAsia="宋体" w:cs="宋体"/>
          <w:i/>
          <w:sz w:val="21"/>
          <w:szCs w:val="21"/>
        </w:rPr>
        <w:t>P</w:t>
      </w:r>
      <w:r>
        <w:rPr>
          <w:rFonts w:hint="eastAsia" w:ascii="宋体" w:hAnsi="宋体" w:eastAsia="宋体" w:cs="宋体"/>
          <w:sz w:val="21"/>
          <w:szCs w:val="21"/>
        </w:rPr>
        <w:t>＜0.05)，血二氧化碳分压PCO</w:t>
      </w:r>
      <w:r>
        <w:rPr>
          <w:rFonts w:hint="eastAsia" w:ascii="宋体" w:hAnsi="宋体" w:eastAsia="宋体" w:cs="宋体"/>
          <w:sz w:val="21"/>
          <w:szCs w:val="21"/>
          <w:vertAlign w:val="subscript"/>
        </w:rPr>
        <w:t>2</w:t>
      </w:r>
      <w:r>
        <w:rPr>
          <w:rFonts w:hint="eastAsia" w:ascii="宋体" w:hAnsi="宋体" w:eastAsia="宋体" w:cs="宋体"/>
          <w:sz w:val="21"/>
          <w:szCs w:val="21"/>
        </w:rPr>
        <w:t>、pH两组差异无显著性</w:t>
      </w:r>
      <w:r>
        <w:rPr>
          <w:rFonts w:hint="eastAsia" w:ascii="宋体" w:hAnsi="宋体" w:eastAsia="宋体" w:cs="宋体"/>
          <w:i w:val="0"/>
          <w:iCs/>
          <w:sz w:val="21"/>
          <w:szCs w:val="21"/>
        </w:rPr>
        <w:t>(</w:t>
      </w:r>
      <w:r>
        <w:rPr>
          <w:rFonts w:hint="eastAsia" w:ascii="宋体" w:hAnsi="宋体" w:eastAsia="宋体" w:cs="宋体"/>
          <w:i/>
          <w:sz w:val="21"/>
          <w:szCs w:val="21"/>
        </w:rPr>
        <w:t>P</w:t>
      </w:r>
      <w:r>
        <w:rPr>
          <w:rFonts w:hint="eastAsia" w:ascii="宋体" w:hAnsi="宋体" w:eastAsia="宋体" w:cs="宋体"/>
          <w:sz w:val="21"/>
          <w:szCs w:val="21"/>
        </w:rPr>
        <w:t>＞0.05</w:t>
      </w:r>
      <w:r>
        <w:rPr>
          <w:rFonts w:hint="eastAsia" w:ascii="宋体" w:hAnsi="宋体" w:eastAsia="宋体" w:cs="宋体"/>
          <w:i w:val="0"/>
          <w:iCs/>
          <w:sz w:val="21"/>
          <w:szCs w:val="21"/>
        </w:rPr>
        <w:t>)</w:t>
      </w:r>
      <w:r>
        <w:rPr>
          <w:rFonts w:hint="eastAsia" w:ascii="宋体" w:hAnsi="宋体" w:eastAsia="宋体" w:cs="宋体"/>
          <w:sz w:val="21"/>
          <w:szCs w:val="21"/>
        </w:rPr>
        <w:t>。</w:t>
      </w:r>
      <w:r>
        <w:rPr>
          <w:rFonts w:hint="eastAsia" w:ascii="宋体" w:hAnsi="宋体" w:eastAsia="宋体" w:cs="宋体"/>
          <w:b/>
          <w:sz w:val="21"/>
          <w:szCs w:val="21"/>
        </w:rPr>
        <w:t xml:space="preserve">结论 </w:t>
      </w:r>
      <w:r>
        <w:rPr>
          <w:rFonts w:hint="eastAsia" w:ascii="宋体" w:hAnsi="宋体" w:eastAsia="宋体" w:cs="宋体"/>
          <w:sz w:val="21"/>
          <w:szCs w:val="21"/>
        </w:rPr>
        <w:t>应用</w:t>
      </w:r>
      <w:r>
        <w:rPr>
          <w:rFonts w:hint="eastAsia" w:ascii="宋体" w:hAnsi="宋体" w:eastAsia="宋体" w:cs="宋体"/>
          <w:kern w:val="0"/>
          <w:sz w:val="21"/>
          <w:szCs w:val="21"/>
        </w:rPr>
        <w:t>Thumper®-1007 CPR机</w:t>
      </w:r>
      <w:r>
        <w:rPr>
          <w:rFonts w:hint="eastAsia" w:ascii="宋体" w:hAnsi="宋体" w:eastAsia="宋体" w:cs="宋体"/>
          <w:sz w:val="21"/>
          <w:szCs w:val="21"/>
        </w:rPr>
        <w:t>复苏后的</w:t>
      </w:r>
      <w:r>
        <w:rPr>
          <w:rFonts w:hint="eastAsia" w:ascii="宋体" w:hAnsi="宋体" w:eastAsia="宋体" w:cs="宋体"/>
          <w:kern w:val="0"/>
          <w:sz w:val="21"/>
          <w:szCs w:val="21"/>
        </w:rPr>
        <w:t>PCAS存在氧气相对过量情况。</w:t>
      </w:r>
    </w:p>
    <w:p>
      <w:pPr>
        <w:spacing w:line="240" w:lineRule="auto"/>
        <w:rPr>
          <w:rFonts w:hint="eastAsia" w:ascii="宋体" w:hAnsi="宋体" w:eastAsia="宋体" w:cs="宋体"/>
          <w:kern w:val="0"/>
          <w:sz w:val="21"/>
          <w:szCs w:val="21"/>
        </w:rPr>
      </w:pPr>
      <w:r>
        <w:rPr>
          <w:rFonts w:hint="eastAsia" w:ascii="宋体" w:hAnsi="宋体" w:eastAsia="宋体" w:cs="宋体"/>
          <w:b/>
          <w:sz w:val="21"/>
        </w:rPr>
        <w:t>【关键词】</w:t>
      </w:r>
      <w:r>
        <w:rPr>
          <w:rFonts w:hint="eastAsia" w:ascii="宋体" w:hAnsi="宋体" w:eastAsia="宋体" w:cs="宋体"/>
          <w:kern w:val="0"/>
          <w:sz w:val="21"/>
          <w:szCs w:val="21"/>
        </w:rPr>
        <w:t>心跳呼吸停止</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心肺复苏</w:t>
      </w:r>
      <w:r>
        <w:rPr>
          <w:rFonts w:hint="eastAsia" w:ascii="宋体" w:hAnsi="宋体" w:eastAsia="宋体" w:cs="宋体"/>
          <w:kern w:val="0"/>
          <w:sz w:val="21"/>
          <w:szCs w:val="21"/>
          <w:lang w:eastAsia="zh-CN"/>
        </w:rPr>
        <w:t>；</w:t>
      </w:r>
      <w:r>
        <w:rPr>
          <w:rFonts w:hint="eastAsia" w:ascii="宋体" w:hAnsi="宋体" w:eastAsia="宋体" w:cs="宋体"/>
          <w:sz w:val="21"/>
          <w:szCs w:val="21"/>
        </w:rPr>
        <w:t>萨勃心肺复苏机</w:t>
      </w:r>
      <w:r>
        <w:rPr>
          <w:rFonts w:hint="eastAsia" w:ascii="宋体" w:hAnsi="宋体" w:eastAsia="宋体" w:cs="宋体"/>
          <w:sz w:val="21"/>
          <w:szCs w:val="21"/>
          <w:lang w:eastAsia="zh-CN"/>
        </w:rPr>
        <w:t>；</w:t>
      </w:r>
      <w:r>
        <w:rPr>
          <w:rFonts w:hint="eastAsia" w:ascii="宋体" w:hAnsi="宋体" w:eastAsia="宋体" w:cs="宋体"/>
          <w:sz w:val="21"/>
          <w:szCs w:val="21"/>
        </w:rPr>
        <w:t>心脏停搏后综合征</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动脉血气分析</w:t>
      </w:r>
    </w:p>
    <w:p>
      <w:pPr>
        <w:spacing w:line="240" w:lineRule="auto"/>
        <w:rPr>
          <w:rFonts w:hint="eastAsia" w:ascii="宋体" w:hAnsi="宋体" w:eastAsia="宋体" w:cs="宋体"/>
          <w:sz w:val="21"/>
          <w:szCs w:val="21"/>
        </w:rPr>
      </w:pPr>
    </w:p>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自从萨勃心肺复苏机（</w:t>
      </w:r>
      <w:r>
        <w:rPr>
          <w:rFonts w:hint="eastAsia" w:ascii="宋体" w:hAnsi="宋体" w:eastAsia="宋体" w:cs="宋体"/>
          <w:kern w:val="0"/>
          <w:sz w:val="21"/>
          <w:szCs w:val="21"/>
        </w:rPr>
        <w:t>Thumper®-1007 CPR机</w:t>
      </w:r>
      <w:r>
        <w:rPr>
          <w:rFonts w:hint="eastAsia" w:ascii="宋体" w:hAnsi="宋体" w:eastAsia="宋体" w:cs="宋体"/>
          <w:sz w:val="21"/>
          <w:szCs w:val="21"/>
        </w:rPr>
        <w:t>）在急诊科应用以来，以其卓越的性能和优点受到了急诊临床工作者的喜爱。实践证明Thumper确实能提供标准的、高质量的心外按压，节省了大量的人力资源，提高了工作效率，使得标准和超长心肺复苏成为现实，提高了心肺复苏的成功率。然而，我们发现使用</w:t>
      </w:r>
      <w:r>
        <w:rPr>
          <w:rFonts w:hint="eastAsia" w:ascii="宋体" w:hAnsi="宋体" w:eastAsia="宋体" w:cs="宋体"/>
          <w:kern w:val="0"/>
          <w:sz w:val="21"/>
          <w:szCs w:val="21"/>
        </w:rPr>
        <w:t>Thumper®-1007 CPR机复苏成功的</w:t>
      </w:r>
      <w:r>
        <w:rPr>
          <w:rFonts w:hint="eastAsia" w:ascii="宋体" w:hAnsi="宋体" w:eastAsia="宋体" w:cs="宋体"/>
          <w:sz w:val="21"/>
          <w:szCs w:val="21"/>
        </w:rPr>
        <w:t>心脏停搏后综合征（poscardiac arrest syndrome,PCAS）患者较普遍存在氧分压过高现象，若长时间得不到纠正，可能会对PCAS的预后造成不利影响。</w:t>
      </w:r>
    </w:p>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b/>
          <w:sz w:val="21"/>
          <w:szCs w:val="24"/>
        </w:rPr>
      </w:pPr>
      <w:r>
        <w:rPr>
          <w:rFonts w:hint="eastAsia" w:ascii="宋体" w:hAnsi="宋体" w:eastAsia="宋体" w:cs="宋体"/>
          <w:b/>
          <w:sz w:val="21"/>
          <w:szCs w:val="24"/>
        </w:rPr>
        <w:t>1</w:t>
      </w:r>
      <w:r>
        <w:rPr>
          <w:rFonts w:hint="eastAsia" w:ascii="宋体" w:hAnsi="宋体" w:eastAsia="宋体" w:cs="宋体"/>
          <w:b/>
          <w:sz w:val="21"/>
          <w:szCs w:val="24"/>
          <w:lang w:val="en-US" w:eastAsia="zh-CN"/>
        </w:rPr>
        <w:t xml:space="preserve"> </w:t>
      </w:r>
      <w:r>
        <w:rPr>
          <w:rFonts w:hint="eastAsia" w:ascii="宋体" w:hAnsi="宋体" w:eastAsia="宋体" w:cs="宋体"/>
          <w:b/>
          <w:sz w:val="21"/>
          <w:szCs w:val="24"/>
        </w:rPr>
        <w:t>资料与方法</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b/>
          <w:sz w:val="21"/>
          <w:szCs w:val="24"/>
        </w:rPr>
      </w:pPr>
      <w:r>
        <w:rPr>
          <w:rFonts w:hint="eastAsia" w:ascii="宋体" w:hAnsi="宋体" w:eastAsia="宋体" w:cs="宋体"/>
          <w:b/>
          <w:sz w:val="21"/>
          <w:szCs w:val="24"/>
          <w:lang w:val="en-US" w:eastAsia="zh-CN"/>
        </w:rPr>
        <w:t xml:space="preserve">1.1 </w:t>
      </w:r>
      <w:r>
        <w:rPr>
          <w:rFonts w:hint="eastAsia" w:ascii="宋体" w:hAnsi="宋体" w:eastAsia="宋体" w:cs="宋体"/>
          <w:b/>
          <w:sz w:val="21"/>
          <w:szCs w:val="24"/>
        </w:rPr>
        <w:t>一般资料</w:t>
      </w:r>
    </w:p>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院急诊科2017年１月至2018年１2月使用Thumper-1007型心肺复苏机复苏成功的、临床资料较全面的PCAS患者29例。其中26例临床资料齐全，男性13例，女16例，年龄1.3～93岁，平均（53.5±24.5）岁；创伤8例，心肌梗死4例，有机磷中毒3例，支气管哮喘3例，脑卒中3例，缢死2例，癫痫大发作2例，心脏瓣膜病、帕金森病、急性酒精中毒和支气管扩张各1例。并与</w:t>
      </w:r>
      <w:r>
        <w:rPr>
          <w:rFonts w:hint="eastAsia" w:ascii="宋体" w:hAnsi="宋体" w:eastAsia="宋体" w:cs="宋体"/>
          <w:sz w:val="21"/>
          <w:szCs w:val="21"/>
          <w:lang w:val="en-US" w:eastAsia="zh-CN"/>
        </w:rPr>
        <w:t>2</w:t>
      </w:r>
      <w:r>
        <w:rPr>
          <w:rFonts w:hint="eastAsia" w:ascii="宋体" w:hAnsi="宋体" w:eastAsia="宋体" w:cs="宋体"/>
          <w:sz w:val="21"/>
          <w:szCs w:val="21"/>
        </w:rPr>
        <w:t>015年１月至2016年12月人工徒手按压救治的20例PCAS作为对照。其中男性 11 例，女性 9例; 年龄 11 ～87岁，平均年龄为(45.5±18.7)岁;交通事故7例，有机磷中毒4例，脑血管病3例，心肌梗死2例，支气管哮喘1例，一氧化碳中毒1例，溺水1例，电击伤1例。心跳停止时间５～30ｍｉｎ；两组患者临床资料无统计学差异，具有可比性。</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b/>
          <w:sz w:val="21"/>
          <w:szCs w:val="24"/>
        </w:rPr>
      </w:pPr>
      <w:r>
        <w:rPr>
          <w:rFonts w:hint="eastAsia" w:ascii="宋体" w:hAnsi="宋体" w:eastAsia="宋体" w:cs="宋体"/>
          <w:b/>
          <w:sz w:val="21"/>
          <w:szCs w:val="24"/>
          <w:lang w:val="en-US" w:eastAsia="zh-CN"/>
        </w:rPr>
        <w:t xml:space="preserve">1.2 </w:t>
      </w:r>
      <w:r>
        <w:rPr>
          <w:rFonts w:hint="eastAsia" w:ascii="宋体" w:hAnsi="宋体" w:eastAsia="宋体" w:cs="宋体"/>
          <w:b/>
          <w:sz w:val="21"/>
          <w:szCs w:val="24"/>
        </w:rPr>
        <w:t>复苏方法</w:t>
      </w:r>
    </w:p>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Ｔumper复苏组（实验组）,患者入院后立即安装</w:t>
      </w:r>
      <w:r>
        <w:rPr>
          <w:rFonts w:hint="eastAsia" w:ascii="宋体" w:hAnsi="宋体" w:eastAsia="宋体" w:cs="宋体"/>
          <w:kern w:val="0"/>
          <w:sz w:val="21"/>
          <w:szCs w:val="21"/>
        </w:rPr>
        <w:t>Thumper®-1007 CPR机</w:t>
      </w:r>
      <w:r>
        <w:rPr>
          <w:rFonts w:hint="eastAsia" w:ascii="宋体" w:hAnsi="宋体" w:eastAsia="宋体" w:cs="宋体"/>
          <w:sz w:val="21"/>
          <w:szCs w:val="21"/>
        </w:rPr>
        <w:t>（美国密歇根州器械公司）</w:t>
      </w:r>
      <w:r>
        <w:rPr>
          <w:rFonts w:hint="eastAsia" w:ascii="宋体" w:hAnsi="宋体" w:eastAsia="宋体" w:cs="宋体"/>
          <w:kern w:val="0"/>
          <w:sz w:val="21"/>
          <w:szCs w:val="21"/>
        </w:rPr>
        <w:t>，同时行</w:t>
      </w:r>
      <w:r>
        <w:rPr>
          <w:rFonts w:hint="eastAsia" w:ascii="宋体" w:hAnsi="宋体" w:eastAsia="宋体" w:cs="宋体"/>
          <w:sz w:val="21"/>
          <w:szCs w:val="21"/>
        </w:rPr>
        <w:t>徒手标准胸外按压，气管插管，按装成功后连接呼吸装置应用</w:t>
      </w:r>
      <w:r>
        <w:rPr>
          <w:rFonts w:hint="eastAsia" w:ascii="宋体" w:hAnsi="宋体" w:eastAsia="宋体" w:cs="宋体"/>
          <w:kern w:val="0"/>
          <w:sz w:val="21"/>
          <w:szCs w:val="21"/>
        </w:rPr>
        <w:t>Thumper®-1007 CPR机进行CPR</w:t>
      </w:r>
      <w:r>
        <w:rPr>
          <w:rFonts w:hint="eastAsia" w:ascii="宋体" w:hAnsi="宋体" w:eastAsia="宋体" w:cs="宋体"/>
          <w:sz w:val="21"/>
          <w:szCs w:val="21"/>
        </w:rPr>
        <w:t>。按压深度5～６cm，潮气量７ml·kg</w:t>
      </w:r>
      <w:r>
        <w:rPr>
          <w:rFonts w:hint="eastAsia" w:ascii="宋体" w:hAnsi="宋体" w:eastAsia="宋体" w:cs="宋体"/>
          <w:sz w:val="21"/>
          <w:szCs w:val="21"/>
          <w:vertAlign w:val="superscript"/>
        </w:rPr>
        <w:t>－１</w:t>
      </w:r>
      <w:r>
        <w:rPr>
          <w:rFonts w:hint="eastAsia" w:ascii="宋体" w:hAnsi="宋体" w:eastAsia="宋体" w:cs="宋体"/>
          <w:sz w:val="21"/>
          <w:szCs w:val="21"/>
        </w:rPr>
        <w:t>，其它复苏机参数，按照机器自身预设实施。徒手复苏组（对照组），患者入院后立即开始标准胸外按压，深度5～</w:t>
      </w:r>
      <w:r>
        <w:rPr>
          <w:rFonts w:hint="eastAsia" w:ascii="宋体" w:hAnsi="宋体" w:eastAsia="宋体" w:cs="宋体"/>
          <w:sz w:val="21"/>
          <w:szCs w:val="21"/>
          <w:lang w:val="en-US" w:eastAsia="zh-CN"/>
        </w:rPr>
        <w:t>6</w:t>
      </w:r>
      <w:r>
        <w:rPr>
          <w:rFonts w:hint="eastAsia" w:ascii="宋体" w:hAnsi="宋体" w:eastAsia="宋体" w:cs="宋体"/>
          <w:sz w:val="21"/>
          <w:szCs w:val="21"/>
        </w:rPr>
        <w:t>cm，２人或更多医护人员轮流操作，每2min轮换１次，气管插管后给予呼吸机辅助呼吸，潮气量７ml·kg</w:t>
      </w:r>
      <w:r>
        <w:rPr>
          <w:rFonts w:hint="eastAsia" w:ascii="宋体" w:hAnsi="宋体" w:eastAsia="宋体" w:cs="宋体"/>
          <w:sz w:val="21"/>
          <w:szCs w:val="21"/>
          <w:vertAlign w:val="superscript"/>
        </w:rPr>
        <w:t>－１</w:t>
      </w:r>
      <w:r>
        <w:rPr>
          <w:rFonts w:hint="eastAsia" w:ascii="宋体" w:hAnsi="宋体" w:eastAsia="宋体" w:cs="宋体"/>
          <w:sz w:val="21"/>
          <w:szCs w:val="21"/>
        </w:rPr>
        <w:t>，氧浓度100％，频率12次/ｍin，吸呼比</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val="en-US" w:eastAsia="zh-CN"/>
        </w:rPr>
        <w:t>2</w:t>
      </w:r>
      <w:r>
        <w:rPr>
          <w:rFonts w:hint="eastAsia" w:ascii="宋体" w:hAnsi="宋体" w:eastAsia="宋体" w:cs="宋体"/>
          <w:sz w:val="21"/>
          <w:szCs w:val="21"/>
        </w:rPr>
        <w:t>。两组复苏药物，均给予1‰肾上腺素、甲泼尼龙、纳美芬等常规药物，适时电除颤和对症处理，并进行相应严密监护。</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b/>
          <w:sz w:val="21"/>
          <w:szCs w:val="24"/>
        </w:rPr>
      </w:pPr>
      <w:r>
        <w:rPr>
          <w:rFonts w:hint="eastAsia" w:ascii="宋体" w:hAnsi="宋体" w:eastAsia="宋体" w:cs="宋体"/>
          <w:b/>
          <w:sz w:val="21"/>
          <w:szCs w:val="24"/>
          <w:lang w:val="en-US" w:eastAsia="zh-CN"/>
        </w:rPr>
        <w:t xml:space="preserve">1.3 </w:t>
      </w:r>
      <w:r>
        <w:rPr>
          <w:rFonts w:hint="eastAsia" w:ascii="宋体" w:hAnsi="宋体" w:eastAsia="宋体" w:cs="宋体"/>
          <w:b/>
          <w:sz w:val="21"/>
          <w:szCs w:val="24"/>
        </w:rPr>
        <w:t>观察指标</w:t>
      </w:r>
    </w:p>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经复苏后，患者出现自主循环：心电监护出现窦性或者室上性自主心律，出现大动脉搏动，患者皮肤、粘膜及指端颜色变红润等。迅速抽取股动脉或者桡动脉血，进行血气分析。</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0" w:firstLineChars="0"/>
        <w:textAlignment w:val="auto"/>
        <w:rPr>
          <w:rFonts w:hint="eastAsia" w:ascii="宋体" w:hAnsi="宋体" w:eastAsia="宋体" w:cs="宋体"/>
          <w:b/>
          <w:sz w:val="21"/>
          <w:szCs w:val="24"/>
          <w:lang w:val="en-US" w:eastAsia="zh-CN"/>
        </w:rPr>
      </w:pPr>
      <w:r>
        <w:rPr>
          <w:rFonts w:hint="eastAsia" w:ascii="宋体" w:hAnsi="宋体" w:eastAsia="宋体" w:cs="宋体"/>
          <w:b/>
          <w:sz w:val="21"/>
          <w:szCs w:val="24"/>
          <w:lang w:val="en-US" w:eastAsia="zh-CN"/>
        </w:rPr>
        <w:t>1.4 统计学分析</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采用统计学软件 SPSS18.0，计数资料采用</w:t>
      </w:r>
      <w:r>
        <w:rPr>
          <w:rFonts w:hint="eastAsia" w:ascii="宋体" w:hAnsi="宋体" w:eastAsia="宋体" w:cs="宋体"/>
          <w:i/>
          <w:sz w:val="21"/>
          <w:szCs w:val="21"/>
        </w:rPr>
        <w:t>χ</w:t>
      </w:r>
      <w:r>
        <w:rPr>
          <w:rFonts w:hint="eastAsia" w:ascii="宋体" w:hAnsi="宋体" w:eastAsia="宋体" w:cs="宋体"/>
          <w:i/>
          <w:sz w:val="21"/>
          <w:szCs w:val="21"/>
          <w:vertAlign w:val="superscript"/>
        </w:rPr>
        <w:t>2</w:t>
      </w:r>
      <w:r>
        <w:rPr>
          <w:rFonts w:hint="eastAsia" w:ascii="宋体" w:hAnsi="宋体" w:eastAsia="宋体" w:cs="宋体"/>
          <w:sz w:val="21"/>
          <w:szCs w:val="21"/>
        </w:rPr>
        <w:t>检验，计量资料以(</w:t>
      </w:r>
      <w:r>
        <w:rPr>
          <w:rFonts w:hint="eastAsia" w:ascii="宋体" w:hAnsi="宋体" w:eastAsia="宋体" w:cs="宋体"/>
          <w:i/>
          <w:sz w:val="21"/>
          <w:szCs w:val="21"/>
        </w:rPr>
        <w:t>x</w:t>
      </w:r>
      <w:r>
        <w:rPr>
          <w:rFonts w:hint="eastAsia" w:ascii="宋体" w:hAnsi="宋体" w:eastAsia="宋体" w:cs="宋体"/>
          <w:sz w:val="21"/>
          <w:szCs w:val="21"/>
        </w:rPr>
        <w:t>±</w:t>
      </w:r>
      <w:r>
        <w:rPr>
          <w:rFonts w:hint="eastAsia" w:ascii="宋体" w:hAnsi="宋体" w:eastAsia="宋体" w:cs="宋体"/>
          <w:i/>
          <w:sz w:val="21"/>
          <w:szCs w:val="21"/>
        </w:rPr>
        <w:t>s</w:t>
      </w:r>
      <w:r>
        <w:rPr>
          <w:rFonts w:hint="eastAsia" w:ascii="宋体" w:hAnsi="宋体" w:eastAsia="宋体" w:cs="宋体"/>
          <w:sz w:val="21"/>
          <w:szCs w:val="21"/>
        </w:rPr>
        <w:t>)表示，</w:t>
      </w:r>
      <w:r>
        <w:rPr>
          <w:rFonts w:hint="eastAsia" w:ascii="宋体" w:hAnsi="宋体" w:eastAsia="宋体" w:cs="宋体"/>
          <w:i/>
          <w:sz w:val="21"/>
          <w:szCs w:val="21"/>
        </w:rPr>
        <w:t>t</w:t>
      </w:r>
      <w:r>
        <w:rPr>
          <w:rFonts w:hint="eastAsia" w:ascii="宋体" w:hAnsi="宋体" w:eastAsia="宋体" w:cs="宋体"/>
          <w:sz w:val="21"/>
          <w:szCs w:val="21"/>
        </w:rPr>
        <w:t>检验。</w:t>
      </w:r>
      <w:r>
        <w:rPr>
          <w:rFonts w:hint="eastAsia" w:ascii="宋体" w:hAnsi="宋体" w:eastAsia="宋体" w:cs="宋体"/>
          <w:i/>
          <w:sz w:val="21"/>
          <w:szCs w:val="21"/>
        </w:rPr>
        <w:t>P</w:t>
      </w:r>
      <w:r>
        <w:rPr>
          <w:rFonts w:hint="eastAsia" w:ascii="宋体" w:hAnsi="宋体" w:eastAsia="宋体" w:cs="宋体"/>
          <w:sz w:val="21"/>
          <w:szCs w:val="21"/>
        </w:rPr>
        <w:t>≤0.05差异存在统计学意义。</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210" w:firstLineChars="100"/>
        <w:textAlignment w:val="auto"/>
        <w:rPr>
          <w:rFonts w:hint="eastAsia" w:ascii="宋体" w:hAnsi="宋体" w:eastAsia="宋体" w:cs="宋体"/>
          <w:sz w:val="21"/>
          <w:szCs w:val="21"/>
        </w:rPr>
      </w:pP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b/>
          <w:sz w:val="21"/>
          <w:szCs w:val="24"/>
        </w:rPr>
      </w:pPr>
      <w:r>
        <w:rPr>
          <w:rFonts w:hint="eastAsia" w:ascii="宋体" w:hAnsi="宋体" w:eastAsia="宋体" w:cs="宋体"/>
          <w:b/>
          <w:sz w:val="21"/>
          <w:szCs w:val="24"/>
          <w:lang w:val="en-US" w:eastAsia="zh-CN"/>
        </w:rPr>
        <w:t xml:space="preserve">2 </w:t>
      </w:r>
      <w:r>
        <w:rPr>
          <w:rFonts w:hint="eastAsia" w:ascii="宋体" w:hAnsi="宋体" w:eastAsia="宋体" w:cs="宋体"/>
          <w:b/>
          <w:sz w:val="21"/>
          <w:szCs w:val="24"/>
        </w:rPr>
        <w:t>结果</w:t>
      </w: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sz w:val="21"/>
          <w:szCs w:val="21"/>
        </w:rPr>
        <w:sectPr>
          <w:type w:val="continuous"/>
          <w:pgSz w:w="11906" w:h="16838"/>
          <w:pgMar w:top="1440" w:right="1800" w:bottom="1440" w:left="1800" w:header="851" w:footer="992" w:gutter="0"/>
          <w:cols w:space="427" w:num="2"/>
          <w:docGrid w:type="lines" w:linePitch="312" w:charSpace="0"/>
        </w:sectPr>
      </w:pPr>
      <w:r>
        <w:rPr>
          <w:rFonts w:hint="eastAsia" w:ascii="宋体" w:hAnsi="宋体" w:eastAsia="宋体" w:cs="宋体"/>
          <w:kern w:val="0"/>
          <w:sz w:val="21"/>
          <w:szCs w:val="21"/>
        </w:rPr>
        <w:t>实验组的动脉血</w:t>
      </w:r>
      <w:r>
        <w:rPr>
          <w:rFonts w:hint="eastAsia" w:ascii="宋体" w:hAnsi="宋体" w:eastAsia="宋体" w:cs="宋体"/>
          <w:sz w:val="21"/>
          <w:szCs w:val="21"/>
        </w:rPr>
        <w:t>氧分压度Pao</w:t>
      </w:r>
      <w:r>
        <w:rPr>
          <w:rFonts w:hint="eastAsia" w:ascii="宋体" w:hAnsi="宋体" w:eastAsia="宋体" w:cs="宋体"/>
          <w:sz w:val="21"/>
          <w:szCs w:val="21"/>
          <w:vertAlign w:val="subscript"/>
        </w:rPr>
        <w:t>2</w:t>
      </w:r>
      <w:r>
        <w:rPr>
          <w:rFonts w:hint="eastAsia" w:ascii="宋体" w:hAnsi="宋体" w:eastAsia="宋体" w:cs="宋体"/>
          <w:sz w:val="21"/>
          <w:szCs w:val="21"/>
        </w:rPr>
        <w:t>、血氧饱和度ＳaＯ</w:t>
      </w:r>
      <w:r>
        <w:rPr>
          <w:rFonts w:hint="eastAsia" w:ascii="宋体" w:hAnsi="宋体" w:eastAsia="宋体" w:cs="宋体"/>
          <w:sz w:val="21"/>
          <w:szCs w:val="21"/>
          <w:vertAlign w:val="subscript"/>
        </w:rPr>
        <w:t>２</w:t>
      </w:r>
      <w:r>
        <w:rPr>
          <w:rFonts w:hint="eastAsia" w:ascii="宋体" w:hAnsi="宋体" w:eastAsia="宋体" w:cs="宋体"/>
          <w:sz w:val="21"/>
          <w:szCs w:val="21"/>
        </w:rPr>
        <w:t>较人工组高(</w:t>
      </w:r>
      <w:r>
        <w:rPr>
          <w:rFonts w:hint="eastAsia" w:ascii="宋体" w:hAnsi="宋体" w:eastAsia="宋体" w:cs="宋体"/>
          <w:i/>
          <w:sz w:val="21"/>
          <w:szCs w:val="21"/>
        </w:rPr>
        <w:t>P</w:t>
      </w:r>
      <w:r>
        <w:rPr>
          <w:rFonts w:hint="eastAsia" w:ascii="宋体" w:hAnsi="宋体" w:eastAsia="宋体" w:cs="宋体"/>
          <w:sz w:val="21"/>
          <w:szCs w:val="21"/>
        </w:rPr>
        <w:t>＜0.05)，血二氧化碳分压PCO</w:t>
      </w:r>
      <w:r>
        <w:rPr>
          <w:rFonts w:hint="eastAsia" w:ascii="宋体" w:hAnsi="宋体" w:eastAsia="宋体" w:cs="宋体"/>
          <w:sz w:val="21"/>
          <w:szCs w:val="21"/>
          <w:vertAlign w:val="subscript"/>
        </w:rPr>
        <w:t>2</w:t>
      </w:r>
      <w:r>
        <w:rPr>
          <w:rFonts w:hint="eastAsia" w:ascii="宋体" w:hAnsi="宋体" w:eastAsia="宋体" w:cs="宋体"/>
          <w:sz w:val="21"/>
          <w:szCs w:val="21"/>
        </w:rPr>
        <w:t>、pH两组差异无显著性(</w:t>
      </w:r>
      <w:r>
        <w:rPr>
          <w:rFonts w:hint="eastAsia" w:ascii="宋体" w:hAnsi="宋体" w:eastAsia="宋体" w:cs="宋体"/>
          <w:i/>
          <w:sz w:val="21"/>
          <w:szCs w:val="21"/>
        </w:rPr>
        <w:t>P</w:t>
      </w:r>
      <w:r>
        <w:rPr>
          <w:rFonts w:hint="eastAsia" w:ascii="宋体" w:hAnsi="宋体" w:eastAsia="宋体" w:cs="宋体"/>
          <w:sz w:val="21"/>
          <w:szCs w:val="21"/>
        </w:rPr>
        <w:t>＞0.05)，见表1。</w:t>
      </w:r>
    </w:p>
    <w:p>
      <w:pPr>
        <w:spacing w:line="240" w:lineRule="auto"/>
        <w:rPr>
          <w:rFonts w:hint="eastAsia" w:ascii="宋体" w:hAnsi="宋体" w:eastAsia="宋体" w:cs="宋体"/>
          <w:sz w:val="21"/>
          <w:szCs w:val="21"/>
        </w:rPr>
      </w:pPr>
    </w:p>
    <w:p>
      <w:pPr>
        <w:pStyle w:val="2"/>
        <w:spacing w:line="240" w:lineRule="auto"/>
        <w:jc w:val="center"/>
        <w:rPr>
          <w:rFonts w:hint="eastAsia" w:ascii="宋体" w:hAnsi="宋体" w:eastAsia="宋体" w:cs="宋体"/>
          <w:sz w:val="21"/>
          <w:szCs w:val="21"/>
        </w:rPr>
      </w:pPr>
      <w:r>
        <w:rPr>
          <w:rFonts w:hint="eastAsia" w:ascii="宋体" w:hAnsi="宋体" w:eastAsia="宋体" w:cs="宋体"/>
          <w:sz w:val="21"/>
          <w:szCs w:val="21"/>
        </w:rPr>
        <w:t>表格 1两组患者的血氧饱和度、氧分压等情况比较</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rPr>
        <w:sym w:font="Symbol" w:char="F060"/>
      </w:r>
      <w:r>
        <w:rPr>
          <w:rFonts w:hint="eastAsia" w:ascii="宋体" w:hAnsi="宋体" w:eastAsia="宋体" w:cs="宋体"/>
          <w:sz w:val="21"/>
          <w:szCs w:val="21"/>
        </w:rPr>
        <w:t>x±s)</w:t>
      </w:r>
    </w:p>
    <w:tbl>
      <w:tblPr>
        <w:tblStyle w:val="8"/>
        <w:tblW w:w="5000" w:type="pct"/>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0" w:type="dxa"/>
          <w:left w:w="108" w:type="dxa"/>
          <w:bottom w:w="0" w:type="dxa"/>
          <w:right w:w="108" w:type="dxa"/>
        </w:tblCellMar>
      </w:tblPr>
      <w:tblGrid>
        <w:gridCol w:w="1428"/>
        <w:gridCol w:w="840"/>
        <w:gridCol w:w="1503"/>
        <w:gridCol w:w="1583"/>
        <w:gridCol w:w="1584"/>
        <w:gridCol w:w="1584"/>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838" w:type="pct"/>
            <w:tcBorders>
              <w:left w:val="nil"/>
              <w:bottom w:val="single" w:color="000000" w:themeColor="text1" w:sz="8" w:space="0"/>
              <w:right w:val="nil"/>
            </w:tcBorders>
          </w:tcPr>
          <w:p>
            <w:pPr>
              <w:spacing w:line="240" w:lineRule="auto"/>
              <w:rPr>
                <w:rFonts w:hint="eastAsia" w:ascii="宋体" w:hAnsi="宋体" w:eastAsia="宋体" w:cs="宋体"/>
                <w:sz w:val="21"/>
                <w:szCs w:val="21"/>
              </w:rPr>
            </w:pPr>
            <w:r>
              <w:rPr>
                <w:rFonts w:hint="eastAsia" w:ascii="宋体" w:hAnsi="宋体" w:eastAsia="宋体" w:cs="宋体"/>
                <w:sz w:val="21"/>
                <w:szCs w:val="21"/>
              </w:rPr>
              <w:t>组别</w:t>
            </w:r>
          </w:p>
        </w:tc>
        <w:tc>
          <w:tcPr>
            <w:tcW w:w="493" w:type="pct"/>
            <w:tcBorders>
              <w:left w:val="nil"/>
              <w:bottom w:val="single" w:color="000000" w:themeColor="text1" w:sz="8" w:space="0"/>
              <w:right w:val="nil"/>
            </w:tcBorders>
          </w:tcPr>
          <w:p>
            <w:pPr>
              <w:spacing w:line="240" w:lineRule="auto"/>
              <w:rPr>
                <w:rFonts w:hint="eastAsia" w:ascii="宋体" w:hAnsi="宋体" w:eastAsia="宋体" w:cs="宋体"/>
                <w:sz w:val="21"/>
                <w:szCs w:val="21"/>
              </w:rPr>
            </w:pPr>
            <w:r>
              <w:rPr>
                <w:rFonts w:hint="eastAsia" w:ascii="宋体" w:hAnsi="宋体" w:eastAsia="宋体" w:cs="宋体"/>
                <w:sz w:val="21"/>
                <w:szCs w:val="21"/>
              </w:rPr>
              <w:t>n</w:t>
            </w:r>
          </w:p>
        </w:tc>
        <w:tc>
          <w:tcPr>
            <w:tcW w:w="882" w:type="pct"/>
            <w:tcBorders>
              <w:left w:val="nil"/>
              <w:bottom w:val="single" w:color="000000" w:themeColor="text1" w:sz="8" w:space="0"/>
              <w:right w:val="nil"/>
            </w:tcBorders>
          </w:tcPr>
          <w:p>
            <w:pPr>
              <w:spacing w:line="240" w:lineRule="auto"/>
              <w:rPr>
                <w:rFonts w:hint="eastAsia" w:ascii="宋体" w:hAnsi="宋体" w:eastAsia="宋体" w:cs="宋体"/>
                <w:sz w:val="21"/>
                <w:szCs w:val="21"/>
              </w:rPr>
            </w:pPr>
            <w:r>
              <w:rPr>
                <w:rFonts w:hint="eastAsia" w:ascii="宋体" w:hAnsi="宋体" w:eastAsia="宋体" w:cs="宋体"/>
                <w:sz w:val="21"/>
                <w:szCs w:val="21"/>
              </w:rPr>
              <w:t>pH</w:t>
            </w:r>
          </w:p>
        </w:tc>
        <w:tc>
          <w:tcPr>
            <w:tcW w:w="929" w:type="pct"/>
            <w:tcBorders>
              <w:left w:val="nil"/>
              <w:bottom w:val="single" w:color="000000" w:themeColor="text1" w:sz="8" w:space="0"/>
              <w:right w:val="nil"/>
            </w:tcBorders>
          </w:tcPr>
          <w:p>
            <w:pPr>
              <w:spacing w:line="240" w:lineRule="auto"/>
              <w:rPr>
                <w:rFonts w:hint="eastAsia" w:ascii="宋体" w:hAnsi="宋体" w:eastAsia="宋体" w:cs="宋体"/>
                <w:sz w:val="21"/>
                <w:szCs w:val="21"/>
              </w:rPr>
            </w:pPr>
            <w:r>
              <w:rPr>
                <w:rFonts w:hint="eastAsia" w:ascii="宋体" w:hAnsi="宋体" w:eastAsia="宋体" w:cs="宋体"/>
                <w:sz w:val="21"/>
                <w:szCs w:val="21"/>
              </w:rPr>
              <w:t>Pao</w:t>
            </w:r>
            <w:r>
              <w:rPr>
                <w:rFonts w:hint="eastAsia" w:ascii="宋体" w:hAnsi="宋体" w:eastAsia="宋体" w:cs="宋体"/>
                <w:sz w:val="21"/>
                <w:szCs w:val="21"/>
                <w:vertAlign w:val="subscript"/>
              </w:rPr>
              <w:t>2</w:t>
            </w:r>
            <w:r>
              <w:rPr>
                <w:rFonts w:hint="eastAsia" w:ascii="宋体" w:hAnsi="宋体" w:eastAsia="宋体" w:cs="宋体"/>
                <w:sz w:val="21"/>
                <w:szCs w:val="21"/>
              </w:rPr>
              <w:t>(mm Hg)</w:t>
            </w:r>
          </w:p>
        </w:tc>
        <w:tc>
          <w:tcPr>
            <w:tcW w:w="929" w:type="pct"/>
            <w:tcBorders>
              <w:left w:val="nil"/>
              <w:bottom w:val="single" w:color="000000" w:themeColor="text1" w:sz="8" w:space="0"/>
              <w:right w:val="nil"/>
            </w:tcBorders>
          </w:tcPr>
          <w:p>
            <w:pPr>
              <w:spacing w:line="240" w:lineRule="auto"/>
              <w:rPr>
                <w:rFonts w:hint="eastAsia" w:ascii="宋体" w:hAnsi="宋体" w:eastAsia="宋体" w:cs="宋体"/>
                <w:sz w:val="21"/>
                <w:szCs w:val="21"/>
              </w:rPr>
            </w:pPr>
            <w:r>
              <w:rPr>
                <w:rFonts w:hint="eastAsia" w:ascii="宋体" w:hAnsi="宋体" w:eastAsia="宋体" w:cs="宋体"/>
                <w:sz w:val="21"/>
                <w:szCs w:val="21"/>
              </w:rPr>
              <w:t>PCO</w:t>
            </w:r>
            <w:r>
              <w:rPr>
                <w:rFonts w:hint="eastAsia" w:ascii="宋体" w:hAnsi="宋体" w:eastAsia="宋体" w:cs="宋体"/>
                <w:sz w:val="21"/>
                <w:szCs w:val="21"/>
                <w:vertAlign w:val="subscript"/>
              </w:rPr>
              <w:t>2</w:t>
            </w:r>
            <w:r>
              <w:rPr>
                <w:rFonts w:hint="eastAsia" w:ascii="宋体" w:hAnsi="宋体" w:eastAsia="宋体" w:cs="宋体"/>
                <w:sz w:val="21"/>
                <w:szCs w:val="21"/>
              </w:rPr>
              <w:t>(mm Hg)</w:t>
            </w:r>
          </w:p>
        </w:tc>
        <w:tc>
          <w:tcPr>
            <w:tcW w:w="929" w:type="pct"/>
            <w:tcBorders>
              <w:left w:val="nil"/>
              <w:bottom w:val="single" w:color="000000" w:themeColor="text1" w:sz="8" w:space="0"/>
              <w:right w:val="nil"/>
            </w:tcBorders>
          </w:tcPr>
          <w:p>
            <w:pPr>
              <w:spacing w:line="240" w:lineRule="auto"/>
              <w:rPr>
                <w:rFonts w:hint="eastAsia" w:ascii="宋体" w:hAnsi="宋体" w:eastAsia="宋体" w:cs="宋体"/>
                <w:sz w:val="21"/>
                <w:szCs w:val="21"/>
              </w:rPr>
            </w:pPr>
            <w:r>
              <w:rPr>
                <w:rFonts w:hint="eastAsia" w:ascii="宋体" w:hAnsi="宋体" w:eastAsia="宋体" w:cs="宋体"/>
                <w:sz w:val="21"/>
                <w:szCs w:val="21"/>
              </w:rPr>
              <w:t>ＳaＯ</w:t>
            </w:r>
            <w:r>
              <w:rPr>
                <w:rFonts w:hint="eastAsia" w:ascii="宋体" w:hAnsi="宋体" w:eastAsia="宋体" w:cs="宋体"/>
                <w:sz w:val="21"/>
                <w:szCs w:val="21"/>
                <w:vertAlign w:val="subscript"/>
              </w:rPr>
              <w:t>２</w:t>
            </w:r>
            <w:r>
              <w:rPr>
                <w:rFonts w:hint="eastAsia" w:ascii="宋体" w:hAnsi="宋体" w:eastAsia="宋体" w:cs="宋体"/>
                <w:sz w:val="21"/>
                <w:szCs w:val="21"/>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838" w:type="pct"/>
            <w:tcBorders>
              <w:left w:val="nil"/>
              <w:bottom w:val="nil"/>
              <w:right w:val="nil"/>
            </w:tcBorders>
          </w:tcPr>
          <w:p>
            <w:pPr>
              <w:spacing w:line="240" w:lineRule="auto"/>
              <w:rPr>
                <w:rFonts w:hint="eastAsia" w:ascii="宋体" w:hAnsi="宋体" w:eastAsia="宋体" w:cs="宋体"/>
                <w:sz w:val="21"/>
                <w:szCs w:val="21"/>
              </w:rPr>
            </w:pPr>
            <w:r>
              <w:rPr>
                <w:rFonts w:hint="eastAsia" w:ascii="宋体" w:hAnsi="宋体" w:eastAsia="宋体" w:cs="宋体"/>
                <w:sz w:val="21"/>
                <w:szCs w:val="21"/>
              </w:rPr>
              <w:t>实验组</w:t>
            </w:r>
          </w:p>
        </w:tc>
        <w:tc>
          <w:tcPr>
            <w:tcW w:w="493" w:type="pct"/>
            <w:tcBorders>
              <w:left w:val="nil"/>
              <w:bottom w:val="nil"/>
              <w:right w:val="nil"/>
            </w:tcBorders>
          </w:tcPr>
          <w:p>
            <w:pPr>
              <w:spacing w:line="240" w:lineRule="auto"/>
              <w:rPr>
                <w:rFonts w:hint="eastAsia" w:ascii="宋体" w:hAnsi="宋体" w:eastAsia="宋体" w:cs="宋体"/>
                <w:sz w:val="21"/>
                <w:szCs w:val="21"/>
              </w:rPr>
            </w:pPr>
            <w:r>
              <w:rPr>
                <w:rFonts w:hint="eastAsia" w:ascii="宋体" w:hAnsi="宋体" w:eastAsia="宋体" w:cs="宋体"/>
                <w:sz w:val="21"/>
                <w:szCs w:val="21"/>
              </w:rPr>
              <w:t>29</w:t>
            </w:r>
          </w:p>
        </w:tc>
        <w:tc>
          <w:tcPr>
            <w:tcW w:w="882" w:type="pct"/>
            <w:tcBorders>
              <w:left w:val="nil"/>
              <w:bottom w:val="nil"/>
              <w:right w:val="nil"/>
            </w:tcBorders>
          </w:tcPr>
          <w:p>
            <w:pPr>
              <w:spacing w:line="240" w:lineRule="auto"/>
              <w:rPr>
                <w:rFonts w:hint="eastAsia" w:ascii="宋体" w:hAnsi="宋体" w:eastAsia="宋体" w:cs="宋体"/>
                <w:kern w:val="0"/>
                <w:sz w:val="21"/>
                <w:szCs w:val="21"/>
              </w:rPr>
            </w:pPr>
            <w:r>
              <w:rPr>
                <w:rFonts w:hint="eastAsia" w:ascii="宋体" w:hAnsi="宋体" w:eastAsia="宋体" w:cs="宋体"/>
                <w:sz w:val="21"/>
                <w:szCs w:val="21"/>
              </w:rPr>
              <w:t>7.11</w:t>
            </w:r>
            <w:r>
              <w:rPr>
                <w:rFonts w:hint="eastAsia" w:ascii="宋体" w:hAnsi="宋体" w:eastAsia="宋体" w:cs="宋体"/>
                <w:kern w:val="0"/>
                <w:sz w:val="21"/>
                <w:szCs w:val="21"/>
              </w:rPr>
              <w:t>±</w:t>
            </w:r>
            <w:r>
              <w:rPr>
                <w:rFonts w:hint="eastAsia" w:ascii="宋体" w:hAnsi="宋体" w:eastAsia="宋体" w:cs="宋体"/>
                <w:sz w:val="21"/>
                <w:szCs w:val="21"/>
              </w:rPr>
              <w:t>0.23</w:t>
            </w:r>
          </w:p>
        </w:tc>
        <w:tc>
          <w:tcPr>
            <w:tcW w:w="929" w:type="pct"/>
            <w:tcBorders>
              <w:left w:val="nil"/>
              <w:bottom w:val="nil"/>
              <w:right w:val="nil"/>
            </w:tcBorders>
          </w:tcPr>
          <w:p>
            <w:pPr>
              <w:spacing w:line="240" w:lineRule="auto"/>
              <w:rPr>
                <w:rFonts w:hint="eastAsia" w:ascii="宋体" w:hAnsi="宋体" w:eastAsia="宋体" w:cs="宋体"/>
                <w:sz w:val="21"/>
                <w:szCs w:val="21"/>
              </w:rPr>
            </w:pPr>
            <w:r>
              <w:rPr>
                <w:rFonts w:hint="eastAsia" w:ascii="宋体" w:hAnsi="宋体" w:eastAsia="宋体" w:cs="宋体"/>
                <w:kern w:val="0"/>
                <w:sz w:val="21"/>
                <w:szCs w:val="21"/>
              </w:rPr>
              <w:t>193.9±119.4</w:t>
            </w:r>
          </w:p>
        </w:tc>
        <w:tc>
          <w:tcPr>
            <w:tcW w:w="929" w:type="pct"/>
            <w:tcBorders>
              <w:left w:val="nil"/>
              <w:bottom w:val="nil"/>
              <w:right w:val="nil"/>
            </w:tcBorders>
          </w:tcPr>
          <w:p>
            <w:pPr>
              <w:spacing w:line="240" w:lineRule="auto"/>
              <w:rPr>
                <w:rFonts w:hint="eastAsia" w:ascii="宋体" w:hAnsi="宋体" w:eastAsia="宋体" w:cs="宋体"/>
                <w:sz w:val="21"/>
                <w:szCs w:val="21"/>
              </w:rPr>
            </w:pPr>
            <w:r>
              <w:rPr>
                <w:rFonts w:hint="eastAsia" w:ascii="宋体" w:hAnsi="宋体" w:eastAsia="宋体" w:cs="宋体"/>
                <w:kern w:val="0"/>
                <w:sz w:val="21"/>
                <w:szCs w:val="21"/>
              </w:rPr>
              <w:t>50.9±27.4</w:t>
            </w:r>
          </w:p>
        </w:tc>
        <w:tc>
          <w:tcPr>
            <w:tcW w:w="929" w:type="pct"/>
            <w:tcBorders>
              <w:left w:val="nil"/>
              <w:bottom w:val="nil"/>
              <w:right w:val="nil"/>
            </w:tcBorders>
          </w:tcPr>
          <w:p>
            <w:pPr>
              <w:spacing w:line="240" w:lineRule="auto"/>
              <w:rPr>
                <w:rFonts w:hint="eastAsia" w:ascii="宋体" w:hAnsi="宋体" w:eastAsia="宋体" w:cs="宋体"/>
                <w:sz w:val="21"/>
                <w:szCs w:val="21"/>
              </w:rPr>
            </w:pPr>
            <w:r>
              <w:rPr>
                <w:rFonts w:hint="eastAsia" w:ascii="宋体" w:hAnsi="宋体" w:eastAsia="宋体" w:cs="宋体"/>
                <w:kern w:val="0"/>
                <w:sz w:val="21"/>
                <w:szCs w:val="21"/>
              </w:rPr>
              <w:t>96.3±3.7</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838" w:type="pct"/>
            <w:tcBorders>
              <w:top w:val="nil"/>
              <w:left w:val="nil"/>
              <w:bottom w:val="nil"/>
              <w:right w:val="nil"/>
            </w:tcBorders>
          </w:tcPr>
          <w:p>
            <w:pPr>
              <w:spacing w:line="240" w:lineRule="auto"/>
              <w:rPr>
                <w:rFonts w:hint="eastAsia" w:ascii="宋体" w:hAnsi="宋体" w:eastAsia="宋体" w:cs="宋体"/>
                <w:sz w:val="21"/>
                <w:szCs w:val="21"/>
              </w:rPr>
            </w:pPr>
            <w:r>
              <w:rPr>
                <w:rFonts w:hint="eastAsia" w:ascii="宋体" w:hAnsi="宋体" w:eastAsia="宋体" w:cs="宋体"/>
                <w:sz w:val="21"/>
                <w:szCs w:val="21"/>
              </w:rPr>
              <w:t>对照组</w:t>
            </w:r>
          </w:p>
        </w:tc>
        <w:tc>
          <w:tcPr>
            <w:tcW w:w="493" w:type="pct"/>
            <w:tcBorders>
              <w:top w:val="nil"/>
              <w:left w:val="nil"/>
              <w:bottom w:val="nil"/>
              <w:right w:val="nil"/>
            </w:tcBorders>
          </w:tcPr>
          <w:p>
            <w:pPr>
              <w:spacing w:line="240" w:lineRule="auto"/>
              <w:rPr>
                <w:rFonts w:hint="eastAsia" w:ascii="宋体" w:hAnsi="宋体" w:eastAsia="宋体" w:cs="宋体"/>
                <w:sz w:val="21"/>
                <w:szCs w:val="21"/>
              </w:rPr>
            </w:pPr>
            <w:r>
              <w:rPr>
                <w:rFonts w:hint="eastAsia" w:ascii="宋体" w:hAnsi="宋体" w:eastAsia="宋体" w:cs="宋体"/>
                <w:sz w:val="21"/>
                <w:szCs w:val="21"/>
              </w:rPr>
              <w:t>20</w:t>
            </w:r>
          </w:p>
        </w:tc>
        <w:tc>
          <w:tcPr>
            <w:tcW w:w="882" w:type="pct"/>
            <w:tcBorders>
              <w:top w:val="nil"/>
              <w:left w:val="nil"/>
              <w:bottom w:val="nil"/>
              <w:right w:val="nil"/>
            </w:tcBorders>
          </w:tcPr>
          <w:p>
            <w:pPr>
              <w:spacing w:line="240" w:lineRule="auto"/>
              <w:rPr>
                <w:rFonts w:hint="eastAsia" w:ascii="宋体" w:hAnsi="宋体" w:eastAsia="宋体" w:cs="宋体"/>
                <w:sz w:val="21"/>
                <w:szCs w:val="21"/>
              </w:rPr>
            </w:pPr>
            <w:r>
              <w:rPr>
                <w:rFonts w:hint="eastAsia" w:ascii="宋体" w:hAnsi="宋体" w:eastAsia="宋体" w:cs="宋体"/>
                <w:sz w:val="21"/>
                <w:szCs w:val="21"/>
              </w:rPr>
              <w:t>7.03</w:t>
            </w:r>
            <w:r>
              <w:rPr>
                <w:rFonts w:hint="eastAsia" w:ascii="宋体" w:hAnsi="宋体" w:eastAsia="宋体" w:cs="宋体"/>
                <w:kern w:val="0"/>
                <w:sz w:val="21"/>
                <w:szCs w:val="21"/>
              </w:rPr>
              <w:t>±</w:t>
            </w:r>
            <w:r>
              <w:rPr>
                <w:rFonts w:hint="eastAsia" w:ascii="宋体" w:hAnsi="宋体" w:eastAsia="宋体" w:cs="宋体"/>
                <w:sz w:val="21"/>
                <w:szCs w:val="21"/>
              </w:rPr>
              <w:t>0.16</w:t>
            </w:r>
          </w:p>
        </w:tc>
        <w:tc>
          <w:tcPr>
            <w:tcW w:w="929" w:type="pct"/>
            <w:tcBorders>
              <w:top w:val="nil"/>
              <w:left w:val="nil"/>
              <w:bottom w:val="nil"/>
              <w:right w:val="nil"/>
            </w:tcBorders>
          </w:tcPr>
          <w:p>
            <w:pPr>
              <w:spacing w:line="240" w:lineRule="auto"/>
              <w:rPr>
                <w:rFonts w:hint="eastAsia" w:ascii="宋体" w:hAnsi="宋体" w:eastAsia="宋体" w:cs="宋体"/>
                <w:sz w:val="21"/>
                <w:szCs w:val="21"/>
              </w:rPr>
            </w:pPr>
            <w:r>
              <w:rPr>
                <w:rFonts w:hint="eastAsia" w:ascii="宋体" w:hAnsi="宋体" w:eastAsia="宋体" w:cs="宋体"/>
                <w:sz w:val="21"/>
                <w:szCs w:val="21"/>
              </w:rPr>
              <w:t>86.9 ± 32.2</w:t>
            </w:r>
          </w:p>
        </w:tc>
        <w:tc>
          <w:tcPr>
            <w:tcW w:w="929" w:type="pct"/>
            <w:tcBorders>
              <w:top w:val="nil"/>
              <w:left w:val="nil"/>
              <w:bottom w:val="nil"/>
              <w:right w:val="nil"/>
            </w:tcBorders>
          </w:tcPr>
          <w:p>
            <w:pPr>
              <w:spacing w:line="240" w:lineRule="auto"/>
              <w:rPr>
                <w:rFonts w:hint="eastAsia" w:ascii="宋体" w:hAnsi="宋体" w:eastAsia="宋体" w:cs="宋体"/>
                <w:sz w:val="21"/>
                <w:szCs w:val="21"/>
              </w:rPr>
            </w:pPr>
            <w:r>
              <w:rPr>
                <w:rFonts w:hint="eastAsia" w:ascii="宋体" w:hAnsi="宋体" w:eastAsia="宋体" w:cs="宋体"/>
                <w:sz w:val="21"/>
                <w:szCs w:val="21"/>
              </w:rPr>
              <w:t>52.1±10.5</w:t>
            </w:r>
          </w:p>
        </w:tc>
        <w:tc>
          <w:tcPr>
            <w:tcW w:w="929" w:type="pct"/>
            <w:tcBorders>
              <w:top w:val="nil"/>
              <w:left w:val="nil"/>
              <w:bottom w:val="nil"/>
              <w:right w:val="nil"/>
            </w:tcBorders>
          </w:tcPr>
          <w:p>
            <w:pPr>
              <w:spacing w:line="240" w:lineRule="auto"/>
              <w:rPr>
                <w:rFonts w:hint="eastAsia" w:ascii="宋体" w:hAnsi="宋体" w:eastAsia="宋体" w:cs="宋体"/>
                <w:sz w:val="21"/>
                <w:szCs w:val="21"/>
              </w:rPr>
            </w:pPr>
            <w:r>
              <w:rPr>
                <w:rFonts w:hint="eastAsia" w:ascii="宋体" w:hAnsi="宋体" w:eastAsia="宋体" w:cs="宋体"/>
                <w:sz w:val="21"/>
                <w:szCs w:val="21"/>
              </w:rPr>
              <w:t>90.1±3.0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jc w:val="center"/>
        </w:trPr>
        <w:tc>
          <w:tcPr>
            <w:tcW w:w="838" w:type="pct"/>
            <w:tcBorders>
              <w:top w:val="nil"/>
              <w:left w:val="nil"/>
              <w:right w:val="nil"/>
            </w:tcBorders>
            <w:vAlign w:val="center"/>
          </w:tcPr>
          <w:p>
            <w:pPr>
              <w:spacing w:line="240" w:lineRule="auto"/>
              <w:rPr>
                <w:rFonts w:hint="eastAsia" w:ascii="宋体" w:hAnsi="宋体" w:eastAsia="宋体" w:cs="宋体"/>
                <w:sz w:val="21"/>
                <w:szCs w:val="21"/>
              </w:rPr>
            </w:pPr>
            <w:r>
              <w:rPr>
                <w:rFonts w:hint="eastAsia" w:ascii="宋体" w:hAnsi="宋体" w:eastAsia="宋体" w:cs="宋体"/>
                <w:sz w:val="21"/>
                <w:szCs w:val="21"/>
              </w:rPr>
              <w:t>统计：</w:t>
            </w:r>
            <w:r>
              <w:rPr>
                <w:rFonts w:hint="eastAsia" w:ascii="宋体" w:hAnsi="宋体" w:eastAsia="宋体" w:cs="宋体"/>
                <w:i/>
                <w:sz w:val="21"/>
                <w:szCs w:val="21"/>
              </w:rPr>
              <w:t>t</w:t>
            </w:r>
          </w:p>
          <w:p>
            <w:pPr>
              <w:spacing w:line="240" w:lineRule="auto"/>
              <w:jc w:val="center"/>
              <w:rPr>
                <w:rFonts w:hint="eastAsia" w:ascii="宋体" w:hAnsi="宋体" w:eastAsia="宋体" w:cs="宋体"/>
                <w:i/>
                <w:sz w:val="21"/>
                <w:szCs w:val="21"/>
              </w:rPr>
            </w:pPr>
            <w:r>
              <w:rPr>
                <w:rFonts w:hint="eastAsia" w:ascii="宋体" w:hAnsi="宋体" w:eastAsia="宋体" w:cs="宋体"/>
                <w:i/>
                <w:sz w:val="21"/>
                <w:szCs w:val="21"/>
              </w:rPr>
              <w:t>Ｐ</w:t>
            </w:r>
          </w:p>
        </w:tc>
        <w:tc>
          <w:tcPr>
            <w:tcW w:w="493" w:type="pct"/>
            <w:tcBorders>
              <w:top w:val="nil"/>
              <w:left w:val="nil"/>
              <w:right w:val="nil"/>
            </w:tcBorders>
          </w:tcPr>
          <w:p>
            <w:pPr>
              <w:spacing w:line="240" w:lineRule="auto"/>
              <w:rPr>
                <w:rFonts w:hint="eastAsia" w:ascii="宋体" w:hAnsi="宋体" w:eastAsia="宋体" w:cs="宋体"/>
                <w:sz w:val="21"/>
                <w:szCs w:val="21"/>
              </w:rPr>
            </w:pPr>
            <w:r>
              <w:rPr>
                <w:rFonts w:hint="eastAsia" w:ascii="宋体" w:hAnsi="宋体" w:eastAsia="宋体" w:cs="宋体"/>
                <w:sz w:val="21"/>
                <w:szCs w:val="21"/>
              </w:rPr>
              <w:t>49</w:t>
            </w:r>
          </w:p>
          <w:p>
            <w:pPr>
              <w:spacing w:line="240" w:lineRule="auto"/>
              <w:rPr>
                <w:rFonts w:hint="eastAsia" w:ascii="宋体" w:hAnsi="宋体" w:eastAsia="宋体" w:cs="宋体"/>
                <w:sz w:val="21"/>
                <w:szCs w:val="21"/>
              </w:rPr>
            </w:pPr>
            <w:r>
              <w:rPr>
                <w:rFonts w:hint="eastAsia" w:ascii="宋体" w:hAnsi="宋体" w:eastAsia="宋体" w:cs="宋体"/>
                <w:sz w:val="21"/>
                <w:szCs w:val="21"/>
              </w:rPr>
              <w:t>49</w:t>
            </w:r>
          </w:p>
        </w:tc>
        <w:tc>
          <w:tcPr>
            <w:tcW w:w="882" w:type="pct"/>
            <w:tcBorders>
              <w:top w:val="nil"/>
              <w:left w:val="nil"/>
              <w:right w:val="nil"/>
            </w:tcBorders>
          </w:tcPr>
          <w:p>
            <w:pPr>
              <w:spacing w:line="240" w:lineRule="auto"/>
              <w:rPr>
                <w:rFonts w:hint="eastAsia" w:ascii="宋体" w:hAnsi="宋体" w:eastAsia="宋体" w:cs="宋体"/>
                <w:sz w:val="21"/>
                <w:szCs w:val="21"/>
              </w:rPr>
            </w:pPr>
            <w:r>
              <w:rPr>
                <w:rFonts w:hint="eastAsia" w:ascii="宋体" w:hAnsi="宋体" w:eastAsia="宋体" w:cs="宋体"/>
                <w:sz w:val="21"/>
                <w:szCs w:val="21"/>
              </w:rPr>
              <w:t>1.32</w:t>
            </w:r>
          </w:p>
          <w:p>
            <w:pPr>
              <w:spacing w:line="240" w:lineRule="auto"/>
              <w:rPr>
                <w:rFonts w:hint="eastAsia" w:ascii="宋体" w:hAnsi="宋体" w:eastAsia="宋体" w:cs="宋体"/>
                <w:sz w:val="21"/>
                <w:szCs w:val="21"/>
              </w:rPr>
            </w:pPr>
            <w:r>
              <w:rPr>
                <w:rFonts w:hint="eastAsia" w:ascii="宋体" w:hAnsi="宋体" w:eastAsia="宋体" w:cs="宋体"/>
                <w:sz w:val="21"/>
                <w:szCs w:val="21"/>
              </w:rPr>
              <w:t>＞0.05</w:t>
            </w:r>
          </w:p>
        </w:tc>
        <w:tc>
          <w:tcPr>
            <w:tcW w:w="929" w:type="pct"/>
            <w:tcBorders>
              <w:top w:val="nil"/>
              <w:left w:val="nil"/>
              <w:right w:val="nil"/>
            </w:tcBorders>
          </w:tcPr>
          <w:p>
            <w:pPr>
              <w:spacing w:line="240" w:lineRule="auto"/>
              <w:rPr>
                <w:rFonts w:hint="eastAsia" w:ascii="宋体" w:hAnsi="宋体" w:eastAsia="宋体" w:cs="宋体"/>
                <w:sz w:val="21"/>
                <w:szCs w:val="21"/>
              </w:rPr>
            </w:pPr>
            <w:r>
              <w:rPr>
                <w:rFonts w:hint="eastAsia" w:ascii="宋体" w:hAnsi="宋体" w:eastAsia="宋体" w:cs="宋体"/>
                <w:sz w:val="21"/>
                <w:szCs w:val="21"/>
              </w:rPr>
              <w:t>3.88</w:t>
            </w:r>
          </w:p>
          <w:p>
            <w:pPr>
              <w:spacing w:line="240" w:lineRule="auto"/>
              <w:rPr>
                <w:rFonts w:hint="eastAsia" w:ascii="宋体" w:hAnsi="宋体" w:eastAsia="宋体" w:cs="宋体"/>
                <w:sz w:val="21"/>
                <w:szCs w:val="21"/>
              </w:rPr>
            </w:pPr>
            <w:r>
              <w:rPr>
                <w:rFonts w:hint="eastAsia" w:ascii="宋体" w:hAnsi="宋体" w:eastAsia="宋体" w:cs="宋体"/>
                <w:sz w:val="21"/>
                <w:szCs w:val="21"/>
              </w:rPr>
              <w:t>＜0.001</w:t>
            </w:r>
          </w:p>
        </w:tc>
        <w:tc>
          <w:tcPr>
            <w:tcW w:w="929" w:type="pct"/>
            <w:tcBorders>
              <w:top w:val="nil"/>
              <w:left w:val="nil"/>
              <w:right w:val="nil"/>
            </w:tcBorders>
          </w:tcPr>
          <w:p>
            <w:pPr>
              <w:spacing w:line="240" w:lineRule="auto"/>
              <w:rPr>
                <w:rFonts w:hint="eastAsia" w:ascii="宋体" w:hAnsi="宋体" w:eastAsia="宋体" w:cs="宋体"/>
                <w:sz w:val="21"/>
                <w:szCs w:val="21"/>
              </w:rPr>
            </w:pPr>
            <w:r>
              <w:rPr>
                <w:rFonts w:hint="eastAsia" w:ascii="宋体" w:hAnsi="宋体" w:eastAsia="宋体" w:cs="宋体"/>
                <w:sz w:val="21"/>
                <w:szCs w:val="21"/>
              </w:rPr>
              <w:t>0.38</w:t>
            </w:r>
          </w:p>
          <w:p>
            <w:pPr>
              <w:spacing w:line="240" w:lineRule="auto"/>
              <w:rPr>
                <w:rFonts w:hint="eastAsia" w:ascii="宋体" w:hAnsi="宋体" w:eastAsia="宋体" w:cs="宋体"/>
                <w:sz w:val="21"/>
                <w:szCs w:val="21"/>
              </w:rPr>
            </w:pPr>
            <w:r>
              <w:rPr>
                <w:rFonts w:hint="eastAsia" w:ascii="宋体" w:hAnsi="宋体" w:eastAsia="宋体" w:cs="宋体"/>
                <w:sz w:val="21"/>
                <w:szCs w:val="21"/>
              </w:rPr>
              <w:t>＞0.05</w:t>
            </w:r>
          </w:p>
        </w:tc>
        <w:tc>
          <w:tcPr>
            <w:tcW w:w="929" w:type="pct"/>
            <w:tcBorders>
              <w:top w:val="nil"/>
              <w:left w:val="nil"/>
              <w:right w:val="nil"/>
            </w:tcBorders>
          </w:tcPr>
          <w:p>
            <w:pPr>
              <w:spacing w:line="240" w:lineRule="auto"/>
              <w:rPr>
                <w:rFonts w:hint="eastAsia" w:ascii="宋体" w:hAnsi="宋体" w:eastAsia="宋体" w:cs="宋体"/>
                <w:sz w:val="21"/>
                <w:szCs w:val="21"/>
              </w:rPr>
            </w:pPr>
            <w:r>
              <w:rPr>
                <w:rFonts w:hint="eastAsia" w:ascii="宋体" w:hAnsi="宋体" w:eastAsia="宋体" w:cs="宋体"/>
                <w:sz w:val="21"/>
                <w:szCs w:val="21"/>
              </w:rPr>
              <w:t>3.78</w:t>
            </w:r>
          </w:p>
          <w:p>
            <w:pPr>
              <w:spacing w:line="240" w:lineRule="auto"/>
              <w:rPr>
                <w:rFonts w:hint="eastAsia" w:ascii="宋体" w:hAnsi="宋体" w:eastAsia="宋体" w:cs="宋体"/>
                <w:sz w:val="21"/>
                <w:szCs w:val="21"/>
              </w:rPr>
            </w:pPr>
            <w:r>
              <w:rPr>
                <w:rFonts w:hint="eastAsia" w:ascii="宋体" w:hAnsi="宋体" w:eastAsia="宋体" w:cs="宋体"/>
                <w:sz w:val="21"/>
                <w:szCs w:val="21"/>
              </w:rPr>
              <w:t>＜0.001</w:t>
            </w:r>
          </w:p>
        </w:tc>
      </w:tr>
    </w:tbl>
    <w:p>
      <w:pPr>
        <w:spacing w:line="240" w:lineRule="auto"/>
        <w:rPr>
          <w:rFonts w:hint="eastAsia" w:ascii="宋体" w:hAnsi="宋体" w:eastAsia="宋体" w:cs="宋体"/>
          <w:b/>
          <w:sz w:val="21"/>
          <w:szCs w:val="24"/>
          <w:lang w:val="en-US" w:eastAsia="zh-CN"/>
        </w:rPr>
      </w:pP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b/>
          <w:sz w:val="21"/>
          <w:szCs w:val="24"/>
          <w:lang w:val="en-US" w:eastAsia="zh-CN"/>
        </w:rPr>
        <w:sectPr>
          <w:type w:val="continuous"/>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val="0"/>
        <w:topLinePunct w:val="0"/>
        <w:autoSpaceDE/>
        <w:autoSpaceDN/>
        <w:bidi w:val="0"/>
        <w:adjustRightInd/>
        <w:snapToGrid/>
        <w:spacing w:line="240" w:lineRule="auto"/>
        <w:textAlignment w:val="auto"/>
        <w:rPr>
          <w:rFonts w:hint="eastAsia" w:ascii="宋体" w:hAnsi="宋体" w:eastAsia="宋体" w:cs="宋体"/>
          <w:b/>
          <w:sz w:val="21"/>
          <w:szCs w:val="24"/>
        </w:rPr>
      </w:pPr>
      <w:r>
        <w:rPr>
          <w:rFonts w:hint="eastAsia" w:ascii="宋体" w:hAnsi="宋体" w:eastAsia="宋体" w:cs="宋体"/>
          <w:b/>
          <w:sz w:val="21"/>
          <w:szCs w:val="24"/>
          <w:lang w:val="en-US" w:eastAsia="zh-CN"/>
        </w:rPr>
        <w:t xml:space="preserve">3 </w:t>
      </w:r>
      <w:r>
        <w:rPr>
          <w:rFonts w:hint="eastAsia" w:ascii="宋体" w:hAnsi="宋体" w:eastAsia="宋体" w:cs="宋体"/>
          <w:b/>
          <w:sz w:val="21"/>
          <w:szCs w:val="24"/>
        </w:rPr>
        <w:t>讨论</w:t>
      </w:r>
    </w:p>
    <w:p>
      <w:pPr>
        <w:keepNext w:val="0"/>
        <w:keepLines w:val="0"/>
        <w:pageBreakBefore w:val="0"/>
        <w:widowControl w:val="0"/>
        <w:kinsoku/>
        <w:wordWrap/>
        <w:overflowPunct w:val="0"/>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1960年Kouweuhoven ,首先报道了采用胸外按压压迫胸骨泵血救治猝死患者并获得成功, 自此标准CPR在国际上一直受到推崇。国内外学者在50年长期临床实践发现,传统的徒手心肺复苏方法较难做到持续恒定高质量的胸外按压</w:t>
      </w:r>
      <w:r>
        <w:rPr>
          <w:rFonts w:hint="eastAsia" w:ascii="宋体" w:hAnsi="宋体" w:eastAsia="宋体" w:cs="宋体"/>
          <w:sz w:val="21"/>
          <w:szCs w:val="21"/>
          <w:vertAlign w:val="superscript"/>
        </w:rPr>
        <w:t>[1] [2</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ADDIN KYMRREF{3CFD8CDF-73D2-403E-9321-3C6D26054DD8}17402</w:instrText>
      </w:r>
      <w:r>
        <w:rPr>
          <w:rFonts w:hint="eastAsia" w:ascii="宋体" w:hAnsi="宋体" w:eastAsia="宋体" w:cs="宋体"/>
          <w:sz w:val="21"/>
          <w:szCs w:val="21"/>
        </w:rPr>
        <w:fldChar w:fldCharType="separate"/>
      </w:r>
      <w:r>
        <w:rPr>
          <w:rFonts w:hint="eastAsia" w:ascii="宋体" w:hAnsi="宋体" w:eastAsia="宋体" w:cs="宋体"/>
          <w:sz w:val="21"/>
          <w:szCs w:val="21"/>
          <w:vertAlign w:val="superscript"/>
        </w:rPr>
        <w:t>]</w:t>
      </w:r>
      <w:r>
        <w:rPr>
          <w:rFonts w:hint="eastAsia" w:ascii="宋体" w:hAnsi="宋体" w:eastAsia="宋体" w:cs="宋体"/>
          <w:sz w:val="21"/>
          <w:szCs w:val="21"/>
        </w:rPr>
        <w:fldChar w:fldCharType="end"/>
      </w:r>
      <w:r>
        <w:rPr>
          <w:rFonts w:hint="eastAsia" w:ascii="宋体" w:hAnsi="宋体" w:eastAsia="宋体" w:cs="宋体"/>
          <w:sz w:val="21"/>
          <w:szCs w:val="21"/>
        </w:rPr>
        <w:t>，超过30分钟的超长时间的心肺复苏更难以实现。有人认为，即使接受正规训练者的 CPR，也仅能提供患者正常血供的 20％ ~30%</w:t>
      </w:r>
      <w:r>
        <w:rPr>
          <w:rFonts w:hint="eastAsia" w:ascii="宋体" w:hAnsi="宋体" w:eastAsia="宋体" w:cs="宋体"/>
          <w:sz w:val="21"/>
          <w:szCs w:val="21"/>
          <w:vertAlign w:val="superscript"/>
        </w:rPr>
        <w:t>[3]</w:t>
      </w:r>
      <w:r>
        <w:rPr>
          <w:rFonts w:hint="eastAsia" w:ascii="宋体" w:hAnsi="宋体" w:eastAsia="宋体" w:cs="宋体"/>
          <w:sz w:val="21"/>
          <w:szCs w:val="21"/>
        </w:rPr>
        <w:t>。在实际操作中，由于人工 CPR 操作者容易疲劳，需要 2名以上操作者轮流按压，就不可避免地会中断按压，降低了复苏效果。受操作熟练程度等人为因素的影响，标准 CPR 的有效性也会受到影响</w:t>
      </w:r>
      <w:r>
        <w:rPr>
          <w:rFonts w:hint="eastAsia" w:ascii="宋体" w:hAnsi="宋体" w:eastAsia="宋体" w:cs="宋体"/>
          <w:sz w:val="21"/>
          <w:szCs w:val="21"/>
          <w:vertAlign w:val="superscript"/>
        </w:rPr>
        <w:t xml:space="preserve"> [4]</w:t>
      </w:r>
      <w:bookmarkStart w:id="2" w:name="OLE_LINK2"/>
      <w:bookmarkStart w:id="3" w:name="OLE_LINK1"/>
      <w:r>
        <w:rPr>
          <w:rFonts w:hint="eastAsia" w:ascii="宋体" w:hAnsi="宋体" w:eastAsia="宋体" w:cs="宋体"/>
          <w:sz w:val="21"/>
          <w:szCs w:val="21"/>
        </w:rPr>
        <w:t>。研究表明即使联用情景训练和实时视听等多种方法可改善人工CPR质量，仍有32.5％的胸外按压无法达到指南建议要求</w:t>
      </w:r>
      <w:r>
        <w:rPr>
          <w:rFonts w:hint="eastAsia" w:ascii="宋体" w:hAnsi="宋体" w:eastAsia="宋体" w:cs="宋体"/>
          <w:sz w:val="21"/>
          <w:szCs w:val="21"/>
          <w:vertAlign w:val="superscript"/>
        </w:rPr>
        <w:t>［5］</w:t>
      </w:r>
      <w:r>
        <w:rPr>
          <w:rFonts w:hint="eastAsia" w:ascii="宋体" w:hAnsi="宋体" w:eastAsia="宋体" w:cs="宋体"/>
          <w:sz w:val="21"/>
          <w:szCs w:val="21"/>
        </w:rPr>
        <w:t>萨勃心肺复苏机是自70年代就开始使用的一种全自动、同步胸外心脏按压兼间歇正压通气设备，</w:t>
      </w:r>
      <w:bookmarkEnd w:id="2"/>
      <w:bookmarkEnd w:id="3"/>
      <w:r>
        <w:rPr>
          <w:rFonts w:hint="eastAsia" w:ascii="宋体" w:hAnsi="宋体" w:eastAsia="宋体" w:cs="宋体"/>
          <w:sz w:val="21"/>
          <w:szCs w:val="21"/>
        </w:rPr>
        <w:t>其优点：①装置结构简单，安装迅速，可以按照设定的参数对患者进行标准化心肺复苏②避免了因医护者因为技术和体力等因素造成的按压深度、部位、频率、方法不标准给心肺复苏带来的不利影响③节省医护人员大量的人力，使其有更多的时间进行高级生命支持或者其它复苏工作④以一定的按压程序实施心外按压，在按压结束时开始送气，保证了按压与通气的协调性。⑤为超长心肺复苏或者数个心跳呼吸停止患者同时开展抢救提供有利条件</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ADDIN KYMRREF{3CFD8CDF-73D2-403E-9321-3C6D26054DD8}17401</w:instrText>
      </w:r>
      <w:r>
        <w:rPr>
          <w:rFonts w:hint="eastAsia" w:ascii="宋体" w:hAnsi="宋体" w:eastAsia="宋体" w:cs="宋体"/>
          <w:sz w:val="21"/>
          <w:szCs w:val="21"/>
        </w:rPr>
        <w:fldChar w:fldCharType="separate"/>
      </w:r>
      <w:r>
        <w:rPr>
          <w:rFonts w:hint="eastAsia" w:ascii="宋体" w:hAnsi="宋体" w:eastAsia="宋体" w:cs="宋体"/>
          <w:sz w:val="21"/>
          <w:szCs w:val="21"/>
          <w:vertAlign w:val="superscript"/>
        </w:rPr>
        <w:t>[6]</w:t>
      </w:r>
      <w:r>
        <w:rPr>
          <w:rFonts w:hint="eastAsia" w:ascii="宋体" w:hAnsi="宋体" w:eastAsia="宋体" w:cs="宋体"/>
          <w:sz w:val="21"/>
          <w:szCs w:val="21"/>
        </w:rPr>
        <w:fldChar w:fldCharType="end"/>
      </w:r>
      <w:r>
        <w:rPr>
          <w:rFonts w:hint="eastAsia" w:ascii="宋体" w:hAnsi="宋体" w:eastAsia="宋体" w:cs="宋体"/>
          <w:sz w:val="21"/>
          <w:szCs w:val="21"/>
        </w:rPr>
        <w:t>。对部分心跳骤停患者，通过适当延长CPR时间(超长CPR)，可提高心、脑、肺等重要脏器血流灌注，稳定的按压降低了缺血再灌注损伤，提高了患者复苏成功率。</w:t>
      </w:r>
      <w:r>
        <w:rPr>
          <w:rFonts w:hint="eastAsia" w:ascii="宋体" w:hAnsi="宋体" w:eastAsia="宋体" w:cs="宋体"/>
          <w:sz w:val="21"/>
          <w:szCs w:val="21"/>
          <w:vertAlign w:val="superscript"/>
        </w:rPr>
        <w:t>［7］</w:t>
      </w:r>
      <w:r>
        <w:rPr>
          <w:rFonts w:hint="eastAsia" w:ascii="宋体" w:hAnsi="宋体" w:eastAsia="宋体" w:cs="宋体"/>
          <w:sz w:val="21"/>
          <w:szCs w:val="21"/>
        </w:rPr>
        <w:t>，然而，随着</w:t>
      </w:r>
      <w:r>
        <w:rPr>
          <w:rFonts w:hint="eastAsia" w:ascii="宋体" w:hAnsi="宋体" w:eastAsia="宋体" w:cs="宋体"/>
          <w:kern w:val="0"/>
          <w:sz w:val="21"/>
          <w:szCs w:val="21"/>
        </w:rPr>
        <w:t>Thumper®-1007 CPR机不断应用，</w:t>
      </w:r>
      <w:r>
        <w:rPr>
          <w:rFonts w:hint="eastAsia" w:ascii="宋体" w:hAnsi="宋体" w:eastAsia="宋体" w:cs="宋体"/>
          <w:sz w:val="21"/>
          <w:szCs w:val="21"/>
        </w:rPr>
        <w:t>发现其存在一些不足: ①按压通气比率不合理，使通气占用时间过多，相对减少了按压次数，不符合2005年以来心肺复苏指南推荐的按压通气比例 30∶2。加之，机器为纯氧气驱动，存在通气（氧气）相对过量，使得</w:t>
      </w:r>
      <w:r>
        <w:rPr>
          <w:rFonts w:hint="eastAsia" w:ascii="宋体" w:hAnsi="宋体" w:eastAsia="宋体" w:cs="宋体"/>
          <w:kern w:val="0"/>
          <w:sz w:val="21"/>
          <w:szCs w:val="21"/>
        </w:rPr>
        <w:t>Pao</w:t>
      </w:r>
      <w:r>
        <w:rPr>
          <w:rFonts w:hint="eastAsia" w:ascii="宋体" w:hAnsi="宋体" w:eastAsia="宋体" w:cs="宋体"/>
          <w:kern w:val="0"/>
          <w:sz w:val="21"/>
          <w:szCs w:val="21"/>
          <w:vertAlign w:val="subscript"/>
        </w:rPr>
        <w:t>2</w:t>
      </w:r>
      <w:r>
        <w:rPr>
          <w:rFonts w:hint="eastAsia" w:ascii="宋体" w:hAnsi="宋体" w:eastAsia="宋体" w:cs="宋体"/>
          <w:kern w:val="0"/>
          <w:sz w:val="21"/>
          <w:szCs w:val="21"/>
        </w:rPr>
        <w:t>过高</w:t>
      </w:r>
      <w:r>
        <w:rPr>
          <w:rFonts w:hint="eastAsia" w:ascii="宋体" w:hAnsi="宋体" w:eastAsia="宋体" w:cs="宋体"/>
          <w:sz w:val="21"/>
          <w:szCs w:val="21"/>
        </w:rPr>
        <w:t>。2017 年加拿大心脏骤停复苏后优化治疗推荐PaO</w:t>
      </w:r>
      <w:r>
        <w:rPr>
          <w:rFonts w:hint="eastAsia" w:ascii="宋体" w:hAnsi="宋体" w:eastAsia="宋体" w:cs="宋体"/>
          <w:sz w:val="21"/>
          <w:szCs w:val="21"/>
          <w:vertAlign w:val="subscript"/>
        </w:rPr>
        <w:t>2</w:t>
      </w:r>
      <w:r>
        <w:rPr>
          <w:rFonts w:hint="eastAsia" w:ascii="宋体" w:hAnsi="宋体" w:eastAsia="宋体" w:cs="宋体"/>
          <w:sz w:val="21"/>
          <w:szCs w:val="21"/>
        </w:rPr>
        <w:t>维持在 60~200mmHg</w:t>
      </w:r>
      <w:r>
        <w:rPr>
          <w:rFonts w:hint="eastAsia" w:ascii="宋体" w:hAnsi="宋体" w:eastAsia="宋体" w:cs="宋体"/>
          <w:sz w:val="21"/>
          <w:szCs w:val="21"/>
          <w:vertAlign w:val="superscript"/>
        </w:rPr>
        <w:t xml:space="preserve"> [8]</w:t>
      </w:r>
      <w:r>
        <w:rPr>
          <w:rFonts w:hint="eastAsia" w:ascii="宋体" w:hAnsi="宋体" w:eastAsia="宋体" w:cs="宋体"/>
          <w:sz w:val="21"/>
          <w:szCs w:val="21"/>
        </w:rPr>
        <w:t>，目前现有指南推荐在心肺复苏期间吸氧体积分数为100%（FiO</w:t>
      </w:r>
      <w:r>
        <w:rPr>
          <w:rFonts w:hint="eastAsia" w:ascii="宋体" w:hAnsi="宋体" w:eastAsia="宋体" w:cs="宋体"/>
          <w:sz w:val="21"/>
          <w:szCs w:val="21"/>
          <w:vertAlign w:val="subscript"/>
        </w:rPr>
        <w:t xml:space="preserve"> 2</w:t>
      </w:r>
      <w:r>
        <w:rPr>
          <w:rFonts w:hint="eastAsia" w:ascii="宋体" w:hAnsi="宋体" w:eastAsia="宋体" w:cs="宋体"/>
          <w:sz w:val="21"/>
          <w:szCs w:val="21"/>
        </w:rPr>
        <w:t>=1.0）。但是，越来越多的临床证据显示，高氧血症（PaO 2 ≥300mmHg）在组织再灌注的早期对缺血后的神经元是有害的，它会导致氧化应激和脑代谢损害，破坏脑白质、海马和纹状体神经元，以及增加病死率</w:t>
      </w:r>
      <w:r>
        <w:rPr>
          <w:rFonts w:hint="eastAsia" w:ascii="宋体" w:hAnsi="宋体" w:eastAsia="宋体" w:cs="宋体"/>
          <w:sz w:val="21"/>
          <w:szCs w:val="21"/>
          <w:vertAlign w:val="superscript"/>
        </w:rPr>
        <w:t>[9]</w:t>
      </w:r>
      <w:r>
        <w:rPr>
          <w:rFonts w:hint="eastAsia" w:ascii="宋体" w:hAnsi="宋体" w:eastAsia="宋体" w:cs="宋体"/>
          <w:sz w:val="21"/>
          <w:szCs w:val="21"/>
        </w:rPr>
        <w:t>。2015美国心肺复苏指推荐 ：在心脏骤停患者自主循环恢复后保持其目标血氧饱和度 &gt;94% 即可，当血氧饱和度达到100%时应降低吸入氧体积分数，认为这对减少神经不良后果是有益的</w:t>
      </w:r>
      <w:r>
        <w:rPr>
          <w:rFonts w:hint="eastAsia" w:ascii="宋体" w:hAnsi="宋体" w:eastAsia="宋体" w:cs="宋体"/>
          <w:sz w:val="21"/>
          <w:szCs w:val="21"/>
          <w:vertAlign w:val="superscript"/>
        </w:rPr>
        <w:t>[10]</w:t>
      </w:r>
      <w:r>
        <w:rPr>
          <w:rFonts w:hint="eastAsia" w:ascii="宋体" w:hAnsi="宋体" w:eastAsia="宋体" w:cs="宋体"/>
          <w:sz w:val="21"/>
          <w:szCs w:val="21"/>
        </w:rPr>
        <w:t>。本实验中</w:t>
      </w:r>
      <w:r>
        <w:rPr>
          <w:rFonts w:hint="eastAsia" w:ascii="宋体" w:hAnsi="宋体" w:eastAsia="宋体" w:cs="宋体"/>
          <w:kern w:val="0"/>
          <w:sz w:val="21"/>
          <w:szCs w:val="21"/>
        </w:rPr>
        <w:t>Pao</w:t>
      </w:r>
      <w:r>
        <w:rPr>
          <w:rFonts w:hint="eastAsia" w:ascii="宋体" w:hAnsi="宋体" w:eastAsia="宋体" w:cs="宋体"/>
          <w:kern w:val="0"/>
          <w:sz w:val="21"/>
          <w:szCs w:val="21"/>
          <w:vertAlign w:val="subscript"/>
        </w:rPr>
        <w:t>2</w:t>
      </w:r>
      <w:r>
        <w:rPr>
          <w:rFonts w:hint="eastAsia" w:ascii="宋体" w:hAnsi="宋体" w:eastAsia="宋体" w:cs="宋体"/>
          <w:kern w:val="0"/>
          <w:sz w:val="21"/>
          <w:szCs w:val="21"/>
        </w:rPr>
        <w:t>达193.9±119.4</w:t>
      </w:r>
      <w:r>
        <w:rPr>
          <w:rFonts w:hint="eastAsia" w:ascii="宋体" w:hAnsi="宋体" w:eastAsia="宋体" w:cs="宋体"/>
          <w:sz w:val="21"/>
          <w:szCs w:val="21"/>
        </w:rPr>
        <w:t>mmHg，24/26例≥60</w:t>
      </w:r>
      <w:r>
        <w:rPr>
          <w:rFonts w:hint="eastAsia" w:ascii="宋体" w:hAnsi="宋体" w:eastAsia="宋体" w:cs="宋体"/>
          <w:kern w:val="0"/>
          <w:sz w:val="21"/>
          <w:szCs w:val="21"/>
        </w:rPr>
        <w:t xml:space="preserve"> mmHg</w:t>
      </w:r>
      <w:r>
        <w:rPr>
          <w:rFonts w:hint="eastAsia" w:ascii="宋体" w:hAnsi="宋体" w:eastAsia="宋体" w:cs="宋体"/>
          <w:sz w:val="21"/>
          <w:szCs w:val="21"/>
        </w:rPr>
        <w:t xml:space="preserve"> （92%），7/26例（27%）大于</w:t>
      </w:r>
      <w:r>
        <w:rPr>
          <w:rFonts w:hint="eastAsia" w:ascii="宋体" w:hAnsi="宋体" w:eastAsia="宋体" w:cs="宋体"/>
          <w:kern w:val="0"/>
          <w:sz w:val="21"/>
          <w:szCs w:val="21"/>
        </w:rPr>
        <w:t>200 mmHg，3/26</w:t>
      </w:r>
      <w:r>
        <w:rPr>
          <w:rFonts w:hint="eastAsia" w:ascii="宋体" w:hAnsi="宋体" w:eastAsia="宋体" w:cs="宋体"/>
          <w:sz w:val="21"/>
          <w:szCs w:val="21"/>
        </w:rPr>
        <w:t>（12%）</w:t>
      </w:r>
      <w:r>
        <w:rPr>
          <w:rFonts w:hint="eastAsia" w:ascii="宋体" w:hAnsi="宋体" w:eastAsia="宋体" w:cs="宋体"/>
          <w:kern w:val="0"/>
          <w:sz w:val="21"/>
          <w:szCs w:val="21"/>
        </w:rPr>
        <w:t>例大于300 mmHg，</w:t>
      </w:r>
      <w:r>
        <w:rPr>
          <w:rFonts w:hint="eastAsia" w:ascii="宋体" w:hAnsi="宋体" w:eastAsia="宋体" w:cs="宋体"/>
          <w:sz w:val="21"/>
          <w:szCs w:val="21"/>
        </w:rPr>
        <w:t>对PCAS的治疗带来不利影响。若过度通气导致低二氧化碳分压（PaCO 2 &lt;35 mmHg）可引起脑血管收缩，脑血流量减少，造成脑缺血</w:t>
      </w:r>
      <w:r>
        <w:rPr>
          <w:rFonts w:hint="eastAsia" w:ascii="宋体" w:hAnsi="宋体" w:eastAsia="宋体" w:cs="宋体"/>
          <w:sz w:val="21"/>
          <w:szCs w:val="21"/>
          <w:vertAlign w:val="superscript"/>
        </w:rPr>
        <w:t>[11]</w:t>
      </w:r>
      <w:r>
        <w:rPr>
          <w:rFonts w:hint="eastAsia" w:ascii="宋体" w:hAnsi="宋体" w:eastAsia="宋体" w:cs="宋体"/>
          <w:sz w:val="21"/>
          <w:szCs w:val="21"/>
        </w:rPr>
        <w:t>；反之，通气不足可能导致低氧血症与高碳酸血症（PaCO 2 &gt;45mmHg）；高碳酸血症可引起脑血管舒张，脑组织充血，使颅内压升高，脑血流减少</w:t>
      </w:r>
      <w:r>
        <w:rPr>
          <w:rFonts w:hint="eastAsia" w:ascii="宋体" w:hAnsi="宋体" w:eastAsia="宋体" w:cs="宋体"/>
          <w:sz w:val="21"/>
          <w:szCs w:val="21"/>
          <w:vertAlign w:val="superscript"/>
        </w:rPr>
        <w:t>[12]</w:t>
      </w:r>
      <w:r>
        <w:rPr>
          <w:rFonts w:hint="eastAsia" w:ascii="宋体" w:hAnsi="宋体" w:eastAsia="宋体" w:cs="宋体"/>
          <w:sz w:val="21"/>
          <w:szCs w:val="21"/>
        </w:rPr>
        <w:t>，应注意避免过度通气与通气不足</w:t>
      </w:r>
      <w:r>
        <w:rPr>
          <w:rFonts w:hint="eastAsia" w:ascii="宋体" w:hAnsi="宋体" w:eastAsia="宋体" w:cs="宋体"/>
          <w:sz w:val="21"/>
          <w:szCs w:val="21"/>
          <w:vertAlign w:val="superscript"/>
        </w:rPr>
        <w:t>[13]</w:t>
      </w:r>
      <w:r>
        <w:rPr>
          <w:rFonts w:hint="eastAsia" w:ascii="宋体" w:hAnsi="宋体" w:eastAsia="宋体" w:cs="宋体"/>
          <w:sz w:val="21"/>
          <w:szCs w:val="21"/>
        </w:rPr>
        <w:t>。②将机器安装到患者身上较费时，约 需要20 ～ 30 s ③体质量 ＜ 40 kg 的成人及小儿不推荐使用萨勃机</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ADDIN KYMRREF{3CFD8CDF-73D2-403E-9321-3C6D26054DD8}17400</w:instrText>
      </w:r>
      <w:r>
        <w:rPr>
          <w:rFonts w:hint="eastAsia" w:ascii="宋体" w:hAnsi="宋体" w:eastAsia="宋体" w:cs="宋体"/>
          <w:sz w:val="21"/>
          <w:szCs w:val="21"/>
        </w:rPr>
        <w:fldChar w:fldCharType="separate"/>
      </w:r>
      <w:r>
        <w:rPr>
          <w:rFonts w:hint="eastAsia" w:ascii="宋体" w:hAnsi="宋体" w:eastAsia="宋体" w:cs="宋体"/>
          <w:sz w:val="21"/>
          <w:szCs w:val="21"/>
          <w:vertAlign w:val="superscript"/>
        </w:rPr>
        <w:t>[5]</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ADDIN KYMRREF{3CFD8CDF-73D2-403E-9321-3C6D26054DD8}17403</w:instrText>
      </w:r>
      <w:r>
        <w:rPr>
          <w:rFonts w:hint="eastAsia" w:ascii="宋体" w:hAnsi="宋体" w:eastAsia="宋体" w:cs="宋体"/>
          <w:sz w:val="21"/>
          <w:szCs w:val="21"/>
        </w:rPr>
        <w:fldChar w:fldCharType="separate"/>
      </w:r>
      <w:r>
        <w:rPr>
          <w:rFonts w:hint="eastAsia" w:ascii="宋体" w:hAnsi="宋体" w:eastAsia="宋体" w:cs="宋体"/>
          <w:sz w:val="21"/>
          <w:szCs w:val="21"/>
          <w:vertAlign w:val="superscript"/>
        </w:rPr>
        <w:t>[14]</w:t>
      </w:r>
      <w:r>
        <w:rPr>
          <w:rFonts w:hint="eastAsia" w:ascii="宋体" w:hAnsi="宋体" w:eastAsia="宋体" w:cs="宋体"/>
          <w:sz w:val="21"/>
          <w:szCs w:val="21"/>
        </w:rPr>
        <w:fldChar w:fldCharType="end"/>
      </w:r>
      <w:r>
        <w:rPr>
          <w:rFonts w:hint="eastAsia" w:ascii="宋体" w:hAnsi="宋体" w:eastAsia="宋体" w:cs="宋体"/>
          <w:sz w:val="21"/>
          <w:szCs w:val="21"/>
        </w:rPr>
        <w:t>。为避免以上不足，应用进行心肺复苏时应注意: ①在5∶1</w:t>
      </w:r>
      <w:bookmarkStart w:id="4" w:name="_GoBack"/>
      <w:bookmarkEnd w:id="4"/>
      <w:r>
        <w:rPr>
          <w:rFonts w:hint="eastAsia" w:ascii="宋体" w:hAnsi="宋体" w:eastAsia="宋体" w:cs="宋体"/>
          <w:sz w:val="21"/>
          <w:szCs w:val="21"/>
        </w:rPr>
        <w:t>的情况下，为减少氧气分压过高，应尽量使用低通气量②在按压的过程中，可以同时使用呼吸机进行通气或者呼吸气囊代替</w:t>
      </w:r>
      <w:r>
        <w:rPr>
          <w:rFonts w:hint="eastAsia" w:ascii="宋体" w:hAnsi="宋体" w:eastAsia="宋体" w:cs="宋体"/>
          <w:kern w:val="0"/>
          <w:sz w:val="21"/>
          <w:szCs w:val="21"/>
        </w:rPr>
        <w:t>Thumper®-1007 CPR机的通气</w:t>
      </w:r>
      <w:r>
        <w:rPr>
          <w:rFonts w:hint="eastAsia" w:ascii="宋体" w:hAnsi="宋体" w:eastAsia="宋体" w:cs="宋体"/>
          <w:sz w:val="21"/>
          <w:szCs w:val="21"/>
        </w:rPr>
        <w:t>，应用较低呼吸次数，减低氧浓度，使得通气与较低的血流的比例相适应，维持较正常通气/血流比例，纠正较高的血氧带来的不利影响，最终提高心肺复苏的成功率。</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textAlignment w:val="auto"/>
        <w:rPr>
          <w:rFonts w:hint="eastAsia" w:ascii="宋体" w:hAnsi="宋体" w:eastAsia="宋体" w:cs="宋体"/>
          <w:b/>
          <w:bCs/>
          <w:sz w:val="21"/>
          <w:szCs w:val="24"/>
        </w:rPr>
      </w:pPr>
      <w:r>
        <w:rPr>
          <w:rFonts w:hint="eastAsia" w:ascii="宋体" w:hAnsi="宋体" w:eastAsia="宋体" w:cs="宋体"/>
          <w:b/>
          <w:bCs/>
          <w:sz w:val="21"/>
          <w:szCs w:val="24"/>
        </w:rPr>
        <w:t>参考文献</w:t>
      </w: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1"/>
          <w:szCs w:val="21"/>
        </w:rPr>
      </w:pPr>
      <w:r>
        <w:rPr>
          <w:rFonts w:hint="eastAsia" w:ascii="宋体" w:hAnsi="宋体" w:eastAsia="宋体" w:cs="宋体"/>
          <w:sz w:val="21"/>
          <w:szCs w:val="21"/>
        </w:rPr>
        <w:t>Kouweuhoven WB, Jude JR, Knickerbocker GG. Closed-chest cardiac massage[J]. JAMA,1960,173: 1064-7.</w:t>
      </w: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1"/>
          <w:szCs w:val="21"/>
        </w:rPr>
      </w:pPr>
      <w:r>
        <w:rPr>
          <w:rFonts w:hint="eastAsia" w:ascii="宋体" w:hAnsi="宋体" w:eastAsia="宋体" w:cs="宋体"/>
          <w:sz w:val="21"/>
          <w:szCs w:val="21"/>
        </w:rPr>
        <w:t>Spiller JD, Noblett KE. Endotracheal tube occlusion following blind oral intubation with the Endotrol (trigger) endotracheal tube: a case report[J]. Am J Emerg Med. 1998,16(3): 276-8.</w:t>
      </w: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1"/>
          <w:szCs w:val="21"/>
        </w:rPr>
      </w:pPr>
      <w:r>
        <w:rPr>
          <w:rFonts w:hint="eastAsia" w:ascii="宋体" w:hAnsi="宋体" w:eastAsia="宋体" w:cs="宋体"/>
          <w:sz w:val="21"/>
          <w:szCs w:val="21"/>
        </w:rPr>
        <w:t>蒋健.对国际复苏联盟关于心脏停搏后综合征共识的一点认识[J]. 内科理论与实践,2009.4(6): 526-528.</w:t>
      </w: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1"/>
          <w:szCs w:val="21"/>
        </w:rPr>
      </w:pPr>
      <w:r>
        <w:rPr>
          <w:rFonts w:hint="eastAsia" w:ascii="宋体" w:hAnsi="宋体" w:eastAsia="宋体" w:cs="宋体"/>
          <w:sz w:val="21"/>
          <w:szCs w:val="21"/>
        </w:rPr>
        <w:t>Hu X,Ramadeen A,Laurent G.The effects of an automatic, low pressure and constant flow ventilation device versus manual ventilation during cardiovascular resuscitation in a porcine model of cardiac arrest[J].Resuscitation , 2013, Vol.84 (8):1150-1155.</w:t>
      </w: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1"/>
          <w:szCs w:val="21"/>
        </w:rPr>
      </w:pPr>
      <w:r>
        <w:rPr>
          <w:rFonts w:hint="eastAsia" w:ascii="宋体" w:hAnsi="宋体" w:eastAsia="宋体" w:cs="宋体"/>
          <w:sz w:val="21"/>
          <w:szCs w:val="21"/>
        </w:rPr>
        <w:t>Bobrow BJ,Vadeboncoeur TF,Stolzu,et al.The influence of scenario based training and real time audiovisualfeedback on out of hospital cardiopulmonary resuscitation qnalitu and survivao from out of hospital cardiac arrest[J].Ann Eme Med,2013,62(1):47-56.</w:t>
      </w: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1"/>
          <w:szCs w:val="21"/>
        </w:rPr>
      </w:pPr>
      <w:r>
        <w:rPr>
          <w:rFonts w:hint="eastAsia" w:ascii="宋体" w:hAnsi="宋体" w:eastAsia="宋体" w:cs="宋体"/>
          <w:sz w:val="21"/>
          <w:szCs w:val="21"/>
        </w:rPr>
        <w:t>龚黎, 孙宝玲, 赵亚良等. 萨勃心肺复苏机抢救心脏骤停患者的效果[J].心脏杂志. 2016,28(02): 194-196.</w:t>
      </w: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1"/>
          <w:szCs w:val="21"/>
        </w:rPr>
      </w:pPr>
      <w:r>
        <w:rPr>
          <w:rFonts w:hint="eastAsia" w:ascii="宋体" w:hAnsi="宋体" w:eastAsia="宋体" w:cs="宋体"/>
          <w:sz w:val="21"/>
          <w:szCs w:val="21"/>
        </w:rPr>
        <w:t>郭帅, 宫殿博, 路小光, 白黎智, 范治伟, 王迎莉. 萨勃心肺复苏机在急诊的临床使用分析[J]. 中国医疗器械信息.,2014. 20(02): 3-5.</w:t>
      </w: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Wong GC, van Diepen S, Ainsworth C, et al. Canadian Cardiovascular Society/Canadian Cardiovascular Critical Care Society/Canadian Association of Interventional Cardiology Position Statement on the Optimal Care of the Postarrest Patient[J]. Can J Cardiol, 2017, 33(1):1-16. </w:t>
      </w: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1"/>
          <w:szCs w:val="21"/>
        </w:rPr>
      </w:pPr>
      <w:r>
        <w:rPr>
          <w:rFonts w:hint="eastAsia" w:ascii="宋体" w:hAnsi="宋体" w:eastAsia="宋体" w:cs="宋体"/>
          <w:sz w:val="21"/>
          <w:szCs w:val="21"/>
        </w:rPr>
        <w:t xml:space="preserve">Kilgannon JH, Jones AE, Shapiro NI, et al. Association between arterial hyperoxia following resuscitation from cardiac arrest and in-hospital mortality[J]. JAMA, 2010, 303(21):2165-2171. </w:t>
      </w: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1"/>
          <w:szCs w:val="21"/>
        </w:rPr>
      </w:pPr>
      <w:r>
        <w:rPr>
          <w:rFonts w:hint="eastAsia" w:ascii="宋体" w:hAnsi="宋体" w:eastAsia="宋体" w:cs="宋体"/>
          <w:sz w:val="21"/>
          <w:szCs w:val="21"/>
        </w:rPr>
        <w:t>Callaway CW, Donnino MW, Fink EL, et al. Part 8: post–cardiac arrest care: 2015 American Heart Association Guidelines Update for Cardiopulmonary Resuscitation and Emergency Cardiovascular Care[J]. Circulation, 2015, 132(suppl 2):S465-482.</w:t>
      </w: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1"/>
          <w:szCs w:val="21"/>
        </w:rPr>
      </w:pPr>
      <w:r>
        <w:rPr>
          <w:rFonts w:hint="eastAsia" w:ascii="宋体" w:hAnsi="宋体" w:eastAsia="宋体" w:cs="宋体"/>
          <w:sz w:val="21"/>
          <w:szCs w:val="21"/>
        </w:rPr>
        <w:t>Roberts BW, Kilgannon JH, Chansky ME, et al. Association between post resuscitation partial pressure of arterial carbon dioxide and neurological outcome in patients with post-cardiac arrest syndrome[J]. Circulation, 2013, 127(21):2107-2113.</w:t>
      </w: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1"/>
          <w:szCs w:val="21"/>
        </w:rPr>
      </w:pPr>
      <w:r>
        <w:rPr>
          <w:rFonts w:hint="eastAsia" w:ascii="宋体" w:hAnsi="宋体" w:eastAsia="宋体" w:cs="宋体"/>
          <w:sz w:val="21"/>
          <w:szCs w:val="21"/>
        </w:rPr>
        <w:t>Brian JE Jr. Carbon dioxide and the cerebral</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circulation[J]. Anesthesiology, 1998, 88(5):1365-1386.</w:t>
      </w: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1"/>
          <w:szCs w:val="21"/>
        </w:rPr>
      </w:pPr>
      <w:r>
        <w:rPr>
          <w:rFonts w:hint="eastAsia" w:ascii="宋体" w:hAnsi="宋体" w:eastAsia="宋体" w:cs="宋体"/>
          <w:sz w:val="21"/>
          <w:szCs w:val="21"/>
        </w:rPr>
        <w:t>朱建良,朱建军,刘励军. 心脏骤停后综合征患者早期集束化治疗进展.中华急诊医学杂志,2019, 28(1):7-11.</w:t>
      </w:r>
    </w:p>
    <w:p>
      <w:pPr>
        <w:keepNext w:val="0"/>
        <w:keepLines w:val="0"/>
        <w:pageBreakBefore w:val="0"/>
        <w:widowControl w:val="0"/>
        <w:numPr>
          <w:ilvl w:val="0"/>
          <w:numId w:val="1"/>
        </w:numPr>
        <w:kinsoku/>
        <w:wordWrap/>
        <w:overflowPunct w:val="0"/>
        <w:topLinePunct w:val="0"/>
        <w:autoSpaceDE/>
        <w:autoSpaceDN/>
        <w:bidi w:val="0"/>
        <w:adjustRightInd/>
        <w:snapToGrid/>
        <w:spacing w:line="240" w:lineRule="auto"/>
        <w:ind w:left="454" w:leftChars="0" w:hanging="454" w:firstLineChars="0"/>
        <w:textAlignment w:val="auto"/>
        <w:rPr>
          <w:rFonts w:hint="eastAsia" w:ascii="宋体" w:hAnsi="宋体" w:eastAsia="宋体" w:cs="宋体"/>
          <w:sz w:val="21"/>
          <w:szCs w:val="21"/>
        </w:rPr>
        <w:sectPr>
          <w:type w:val="continuous"/>
          <w:pgSz w:w="11906" w:h="16838"/>
          <w:pgMar w:top="1440" w:right="1800" w:bottom="1440" w:left="1800" w:header="851" w:footer="992" w:gutter="0"/>
          <w:cols w:space="427" w:num="2"/>
          <w:docGrid w:type="lines" w:linePitch="312" w:charSpace="0"/>
        </w:sectPr>
      </w:pPr>
      <w:r>
        <w:rPr>
          <w:rFonts w:hint="eastAsia" w:ascii="宋体" w:hAnsi="宋体" w:eastAsia="宋体" w:cs="宋体"/>
          <w:sz w:val="21"/>
          <w:szCs w:val="21"/>
        </w:rPr>
        <w:t>石廷慧, 林保冠, 汪波, 吴世畅, 张全鹏. 心肺复苏机在心搏骤停患者院前急救中的应用效果[J]. 重庆医学, 2014. 43(34): 4613-4615</w:t>
      </w:r>
      <w:r>
        <w:rPr>
          <w:rFonts w:hint="eastAsia" w:ascii="宋体" w:hAnsi="宋体" w:eastAsia="宋体" w:cs="宋体"/>
          <w:sz w:val="21"/>
          <w:szCs w:val="21"/>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leftChars="0"/>
        <w:textAlignment w:val="auto"/>
        <w:rPr>
          <w:rFonts w:hint="eastAsia" w:ascii="宋体" w:hAnsi="宋体" w:eastAsia="宋体" w:cs="宋体"/>
          <w:sz w:val="21"/>
          <w:szCs w:val="21"/>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2605405</wp:posOffset>
              </wp:positionH>
              <wp:positionV relativeFrom="paragraph">
                <wp:posOffset>194310</wp:posOffset>
              </wp:positionV>
              <wp:extent cx="196215" cy="166370"/>
              <wp:effectExtent l="0" t="0" r="0" b="0"/>
              <wp:wrapNone/>
              <wp:docPr id="2" name="文本框 2"/>
              <wp:cNvGraphicFramePr/>
              <a:graphic xmlns:a="http://schemas.openxmlformats.org/drawingml/2006/main">
                <a:graphicData uri="http://schemas.microsoft.com/office/word/2010/wordprocessingShape">
                  <wps:wsp>
                    <wps:cNvSpPr txBox="1"/>
                    <wps:spPr>
                      <a:xfrm>
                        <a:off x="3748405" y="10093960"/>
                        <a:ext cx="196215" cy="166370"/>
                      </a:xfrm>
                      <a:prstGeom prst="rect">
                        <a:avLst/>
                      </a:prstGeom>
                      <a:noFill/>
                      <a:ln w="6350">
                        <a:noFill/>
                      </a:ln>
                      <a:effectLst/>
                    </wps:spPr>
                    <wps:txbx>
                      <w:txbxContent>
                        <w:p>
                          <w:pPr>
                            <w:pStyle w:val="4"/>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15pt;margin-top:15.3pt;height:13.1pt;width:15.45pt;mso-position-horizontal-relative:margin;z-index:251659264;mso-width-relative:page;mso-height-relative:page;" filled="f" stroked="f" coordsize="21600,21600" o:gfxdata="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lbjxB9kAAAAJAQAADwAAAAAA&#10;AAABACAAAAAiAAAAZHJzL2Rvd25yZXYueG1sUEsBAhQAFAAAAAgAh07iQGTgmG5LAgAAfAQAAA4A&#10;AAAAAAAAAQAgAAAAKAEAAGRycy9lMm9Eb2MueG1sUEsFBgAAAAAGAAYAWQEAAOUFAAAAAA==&#10;">
              <v:fill on="f" focussize="0,0"/>
              <v:stroke on="f" weight="0.5pt"/>
              <v:imagedata o:title=""/>
              <o:lock v:ext="edit" aspectratio="f"/>
              <v:textbox inset="0mm,0mm,0mm,0mm">
                <w:txbxContent>
                  <w:p>
                    <w:pPr>
                      <w:pStyle w:val="4"/>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right"/>
    </w:pPr>
    <w:r>
      <w:rPr>
        <w:rFonts w:hint="eastAsia" w:eastAsia="宋体"/>
        <w:lang w:eastAsia="zh-CN"/>
      </w:rPr>
      <w:drawing>
        <wp:inline distT="0" distB="0" distL="114300" distR="114300">
          <wp:extent cx="925195" cy="314960"/>
          <wp:effectExtent l="0" t="0" r="8255" b="8890"/>
          <wp:docPr id="1" name="图片 1" descr="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4)"/>
                  <pic:cNvPicPr>
                    <a:picLocks noChangeAspect="1"/>
                  </pic:cNvPicPr>
                </pic:nvPicPr>
                <pic:blipFill>
                  <a:blip r:embed="rId1"/>
                  <a:stretch>
                    <a:fillRect/>
                  </a:stretch>
                </pic:blipFill>
                <pic:spPr>
                  <a:xfrm>
                    <a:off x="0" y="0"/>
                    <a:ext cx="925195" cy="314960"/>
                  </a:xfrm>
                  <a:prstGeom prst="rect">
                    <a:avLst/>
                  </a:prstGeom>
                  <a:noFill/>
                  <a:ln>
                    <a:noFill/>
                  </a:ln>
                </pic:spPr>
              </pic:pic>
            </a:graphicData>
          </a:graphic>
        </wp:inline>
      </w:drawing>
    </w:r>
    <w:r>
      <w:rPr>
        <w:rFonts w:hint="eastAsia"/>
        <w:lang w:val="en-US" w:eastAsia="zh-CN"/>
      </w:rPr>
      <w:t xml:space="preserve">                                    </w:t>
    </w:r>
    <w:r>
      <w:rPr>
        <w:rFonts w:hint="eastAsia" w:ascii="宋体" w:hAnsi="宋体" w:eastAsia="宋体" w:cs="宋体"/>
        <w:sz w:val="21"/>
        <w:szCs w:val="21"/>
        <w:lang w:val="en-US" w:eastAsia="zh-CN"/>
      </w:rPr>
      <w:t>《环球医学进展》2022年第1卷第1期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30A3BB"/>
    <w:multiLevelType w:val="singleLevel"/>
    <w:tmpl w:val="3630A3BB"/>
    <w:lvl w:ilvl="0" w:tentative="0">
      <w:start w:val="1"/>
      <w:numFmt w:val="decimal"/>
      <w:lvlText w:val="[%1]"/>
      <w:lvlJc w:val="left"/>
      <w:pPr>
        <w:tabs>
          <w:tab w:val="left" w:pos="397"/>
        </w:tabs>
        <w:ind w:left="454" w:leftChars="0" w:hanging="454"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MDRiOGFhY2MwNDI4OWYxMmM1ZjgxZjk3ODI2YjIifQ=="/>
    <w:docVar w:name="KSO_WPS_MARK_KEY" w:val="c09c9d48-6694-4534-b518-3d8b9dc50e0c"/>
    <w:docVar w:name="KY.MR.DATA{3CFD8CDF-73D2-403E-9321-3C6D26054DD8}17137" w:val="&lt;KyMRNote dbid=&quot;{3CFD8CDF-73D2-403E-9321-3C6D26054DD8}&quot; recid=&quot;17137&quot;&gt;&lt;Data&gt;&lt;Field id=&quot;AccessNum&quot;&gt;&lt;/Field&gt;&lt;Field id=&quot;Author&quot;&gt;甘新宇;宋建;李翠莹;于丽君;&lt;/Field&gt;&lt;Field id=&quot;AuthorTrans&quot;&gt;&lt;/Field&gt;&lt;Field id=&quot;DOI&quot;&gt;&lt;/Field&gt;&lt;Field id=&quot;Editor&quot;&gt;&lt;/Field&gt;&lt;Field id=&quot;FmtTitle&quot;&gt;&lt;/Field&gt;&lt;Field id=&quot;Issue&quot;&gt;06&lt;/Field&gt;&lt;Field id=&quot;LIID&quot;&gt;17137&lt;/Field&gt;&lt;Field id=&quot;Magazine&quot;&gt;中国输血杂志&lt;/Field&gt;&lt;Field id=&quot;MagazineAB&quot;&gt;&lt;/Field&gt;&lt;Field id=&quot;MagazineTrans&quot;&gt;&lt;/Field&gt;&lt;Field id=&quot;PageNum&quot;&gt;457-458&lt;/Field&gt;&lt;Field id=&quot;PubDate&quot;&gt;2010-06-25&lt;/Field&gt;&lt;Field id=&quot;PubPlace&quot;&gt;&lt;/Field&gt;&lt;Field id=&quot;PubPlaceTrans&quot;&gt;&lt;/Field&gt;&lt;Field id=&quot;PubYear&quot;&gt;2010&lt;/Field&gt;&lt;Field id=&quot;Publisher&quot;&gt;成都军区总医院输血科解放军成都血站;&lt;/Field&gt;&lt;Field id=&quot;PublisherTrans&quot;&gt;&lt;/Field&gt;&lt;Field id=&quot;TITrans&quot;&gt;&lt;/Field&gt;&lt;Field id=&quot;Title&quot;&gt;非O型血地震伤员输注O型血临床疗效分析&lt;/Field&gt;&lt;Field id=&quot;Translator&quot;&gt;&lt;/Field&gt;&lt;Field id=&quot;Type&quot;&gt;{041D4F77-279E-4405-0002-4388361B9CFF}&lt;/Field&gt;&lt;Field id=&quot;Version&quot;&gt;&lt;/Field&gt;&lt;Field id=&quot;Vol&quot;&gt;23&lt;/Field&gt;&lt;Field id=&quot;Author2&quot;&gt;甘新宇,;宋建,;李翠莹,;于丽君,;&lt;/Field&gt;&lt;/Data&gt;&lt;Ref&gt;&lt;Display&gt;&lt;Text StringText=&quot;「RefIndex」&quot; StringTextOri=&quot;「RefIndex」&quot; SuperScript=&quot;true&quot;/&gt;&lt;/Display&gt;&lt;/Ref&gt;&lt;Doc&gt;&lt;Display&gt;&lt;Text StringText=&quot;甘新宇, 宋建, 李翠莹, 于丽君&quot; StringGroup=&quot;Author&quot;/&gt;&lt;Text StringText=&quot;. &quot; StringGroup=&quot;Author&quot;/&gt;&lt;Text StringText=&quot;非O型血地震伤员输注O型血临床疗效分析&quot; StringGroup=&quot;Title&quot;/&gt;&lt;Text StringText=&quot;. &quot; StringGroup=&quot;Title&quot;/&gt;&lt;Text StringText=&quot;中国输血杂志&quot; StringGroup=&quot;Magazine&quot;/&gt;&lt;Text StringText=&quot;. &quot; StringGroup=&quot;Magazine&quot;/&gt;&lt;Text StringText=&quot;2010&quot; StringGroup=&quot;PubYear&quot;/&gt;&lt;Text StringText=&quot;. &quot; StringGroup=&quot;PubYear&quot;/&gt;&lt;Text StringText=&quot;23&quot; StringGroup=&quot;Vol&quot;/&gt;&lt;Text StringText=&quot;(&quot; StringGroup=&quot;Issue&quot;/&gt;&lt;Text StringText=&quot;06&quot; StringGroup=&quot;Issue&quot;/&gt;&lt;Text StringText=&quot;)&quot; StringGroup=&quot;Issue&quot;/&gt;&lt;Text StringText=&quot;: &quot; StringGroup=&quot;PageNum&quot;/&gt;&lt;Text StringText=&quot;457-458&quot; StringGroup=&quot;PageNum&quot;/&gt;&lt;Text StringText=&quot;.&quot; StringGroup=&quot;none&quot;/&gt;&lt;/Display&gt;&lt;/Doc&gt;&lt;/KyMRNote&gt;"/>
    <w:docVar w:name="KY.MR.DATA{3CFD8CDF-73D2-403E-9321-3C6D26054DD8}17324" w:val="&lt;KyMRNote dbid=&quot;{3CFD8CDF-73D2-403E-9321-3C6D26054DD8}&quot; recid=&quot;17324&quot;&gt;&lt;Data&gt;&lt;Field id=&quot;AccessNum&quot;&gt;9596432&lt;/Field&gt;&lt;Field id=&quot;Author&quot;&gt;Spiller JD;Noblett KE&lt;/Field&gt;&lt;Field id=&quot;AuthorTrans&quot;&gt;&lt;/Field&gt;&lt;Field id=&quot;DOI&quot;&gt;&lt;/Field&gt;&lt;Field id=&quot;Editor&quot;&gt;&lt;/Field&gt;&lt;Field id=&quot;FmtTitle&quot;&gt;&lt;/Field&gt;&lt;Field id=&quot;Issue&quot;&gt;3&lt;/Field&gt;&lt;Field id=&quot;LIID&quot;&gt;17324&lt;/Field&gt;&lt;Field id=&quot;Magazine&quot;&gt;The American journal of emergency medicine&lt;/Field&gt;&lt;Field id=&quot;MagazineAB&quot;&gt;Am J Emerg Med&lt;/Field&gt;&lt;Field id=&quot;MagazineTrans&quot;&gt;&lt;/Field&gt;&lt;Field id=&quot;PageNum&quot;&gt;276-8&lt;/Field&gt;&lt;Field id=&quot;PubDate&quot;&gt;May&lt;/Field&gt;&lt;Field id=&quot;PubPlace&quot;&gt;United States&lt;/Field&gt;&lt;Field id=&quot;PubPlaceTrans&quot;&gt;&lt;/Field&gt;&lt;Field id=&quot;PubYear&quot;&gt;1998&lt;/Field&gt;&lt;Field id=&quot;Publisher&quot;&gt;&lt;/Field&gt;&lt;Field id=&quot;PublisherTrans&quot;&gt;&lt;/Field&gt;&lt;Field id=&quot;TITrans&quot;&gt;&lt;/Field&gt;&lt;Field id=&quot;Title&quot;&gt;Endotracheal tube occlusion following blind oral intubation with the Endotrol (trigger) endotracheal tube: a case report.&lt;/Field&gt;&lt;Field id=&quot;Translator&quot;&gt;&lt;/Field&gt;&lt;Field id=&quot;Type&quot;&gt;{041D4F77-279E-4405-0002-4388361B9CFF}&lt;/Field&gt;&lt;Field id=&quot;Version&quot;&gt;&lt;/Field&gt;&lt;Field id=&quot;Vol&quot;&gt;16&lt;/Field&gt;&lt;Field id=&quot;Author2&quot;&gt;Spiller,JD;Noblett,KE;&lt;/Field&gt;&lt;/Data&gt;&lt;Ref&gt;&lt;Display&gt;&lt;Text StringText=&quot;「RefIndex」&quot; StringTextOri=&quot;「RefIndex」&quot; SuperScript=&quot;true&quot;/&gt;&lt;/Display&gt;&lt;/Ref&gt;&lt;Doc&gt;&lt;Display&gt;&lt;Text StringText=&quot;Spiller JD, Noblett KE&quot; StringGroup=&quot;Author&quot;/&gt;&lt;Text StringText=&quot;. &quot; StringGroup=&quot;Author&quot;/&gt;&lt;Text StringText=&quot;Endotracheal tube occlusion following blind oral intubation with the Endotrol (trigger) endotracheal tube: a case report&quot; StringGroup=&quot;Title&quot;/&gt;&lt;Text StringText=&quot;. &quot; StringGroup=&quot;Title&quot;/&gt;&lt;Text StringText=&quot;Am J Emerg Med&quot; StringGroup=&quot;Magazine&quot;/&gt;&lt;Text StringText=&quot;. &quot; StringGroup=&quot;Magazine&quot;/&gt;&lt;Text StringText=&quot;1998&quot; StringGroup=&quot;PubYear&quot;/&gt;&lt;Text StringText=&quot;. &quot; StringGroup=&quot;PubYear&quot;/&gt;&lt;Text StringText=&quot;16&quot; StringGroup=&quot;Vol&quot;/&gt;&lt;Text StringText=&quot;(&quot; StringGroup=&quot;Issue&quot;/&gt;&lt;Text StringText=&quot;3&quot; StringGroup=&quot;Issue&quot;/&gt;&lt;Text StringText=&quot;)&quot; StringGroup=&quot;Issue&quot;/&gt;&lt;Text StringText=&quot;: &quot; StringGroup=&quot;PageNum&quot;/&gt;&lt;Text StringText=&quot;276-8&quot; StringGroup=&quot;PageNum&quot;/&gt;&lt;Text StringText=&quot;.&quot; StringGroup=&quot;none&quot;/&gt;&lt;/Display&gt;&lt;/Doc&gt;&lt;/KyMRNote&gt;"/>
    <w:docVar w:name="KY.MR.DATA{3CFD8CDF-73D2-403E-9321-3C6D26054DD8}17400" w:val="&lt;KyMRNote dbid=&quot;{3CFD8CDF-73D2-403E-9321-3C6D26054DD8}&quot; recid=&quot;17400&quot;&gt;&lt;Data&gt;&lt;Field id=&quot;AccessNum&quot;&gt;&lt;/Field&gt;&lt;Field id=&quot;Author&quot;&gt;龚黎;孙宝玲;赵亚良;樊颖;吴婷婷;陈亚强;&lt;/Field&gt;&lt;Field id=&quot;AuthorTrans&quot;&gt;&lt;/Field&gt;&lt;Field id=&quot;DOI&quot;&gt;&lt;/Field&gt;&lt;Field id=&quot;Editor&quot;&gt;&lt;/Field&gt;&lt;Field id=&quot;FmtTitle&quot;&gt;&lt;/Field&gt;&lt;Field id=&quot;Issue&quot;&gt;02&lt;/Field&gt;&lt;Field id=&quot;LIID&quot;&gt;17400&lt;/Field&gt;&lt;Field id=&quot;Magazine&quot;&gt;心脏杂志&lt;/Field&gt;&lt;Field id=&quot;MagazineAB&quot;&gt;&lt;/Field&gt;&lt;Field id=&quot;MagazineTrans&quot;&gt;&lt;/Field&gt;&lt;Field id=&quot;PageNum&quot;&gt;194-196&lt;/Field&gt;&lt;Field id=&quot;PubDate&quot;&gt;2015-11-05 16:20&lt;/Field&gt;&lt;Field id=&quot;PubPlace&quot;&gt;&lt;/Field&gt;&lt;Field id=&quot;PubPlaceTrans&quot;&gt;&lt;/Field&gt;&lt;Field id=&quot;PubYear&quot;&gt;2016&lt;/Field&gt;&lt;Field id=&quot;Publisher&quot;&gt;解放军第323医院急诊科;解放军第518医院影像科;空军装备研究院门诊部;&lt;/Field&gt;&lt;Field id=&quot;PublisherTrans&quot;&gt;&lt;/Field&gt;&lt;Field id=&quot;TITrans&quot;&gt;&lt;/Field&gt;&lt;Field id=&quot;Title&quot;&gt;萨勃心肺复苏机抢救心脏骤停患者的效果&lt;/Field&gt;&lt;Field id=&quot;Translator&quot;&gt;&lt;/Field&gt;&lt;Field id=&quot;Type&quot;&gt;{041D4F77-279E-4405-0002-4388361B9CFF}&lt;/Field&gt;&lt;Field id=&quot;Version&quot;&gt;&lt;/Field&gt;&lt;Field id=&quot;Vol&quot;&gt;28&lt;/Field&gt;&lt;Field id=&quot;Author2&quot;&gt;龚黎,;孙宝玲,;赵亚良,;樊颖,;吴婷婷,;陈亚强,;&lt;/Field&gt;&lt;/Data&gt;&lt;Ref&gt;&lt;Display&gt;&lt;Text StringText=&quot;「RefIndex」&quot; StringTextOri=&quot;「RefIndex」&quot; SuperScript=&quot;true&quot;/&gt;&lt;/Display&gt;&lt;/Ref&gt;&lt;Doc&gt;&lt;Display&gt;&lt;Text StringText=&quot;龚黎, 孙宝玲, 赵亚良, 樊颖, 吴婷婷, 陈亚强&quot; StringGroup=&quot;Author&quot;/&gt;&lt;Text StringText=&quot;. &quot; StringGroup=&quot;Author&quot;/&gt;&lt;Text StringText=&quot;萨勃心肺复苏机抢救心脏骤停患者的效果&quot; StringGroup=&quot;Title&quot;/&gt;&lt;Text StringText=&quot;. &quot; StringGroup=&quot;Title&quot;/&gt;&lt;Text StringText=&quot;心脏杂志&quot; StringGroup=&quot;Magazine&quot;/&gt;&lt;Text StringText=&quot;. &quot; StringGroup=&quot;Magazine&quot;/&gt;&lt;Text StringText=&quot;2016&quot; StringGroup=&quot;PubYear&quot;/&gt;&lt;Text StringText=&quot;. &quot; StringGroup=&quot;PubYear&quot;/&gt;&lt;Text StringText=&quot;28&quot; StringGroup=&quot;Vol&quot;/&gt;&lt;Text StringText=&quot;(&quot; StringGroup=&quot;Issue&quot;/&gt;&lt;Text StringText=&quot;02&quot; StringGroup=&quot;Issue&quot;/&gt;&lt;Text StringText=&quot;)&quot; StringGroup=&quot;Issue&quot;/&gt;&lt;Text StringText=&quot;: &quot; StringGroup=&quot;PageNum&quot;/&gt;&lt;Text StringText=&quot;194-196&quot; StringGroup=&quot;PageNum&quot;/&gt;&lt;Text StringText=&quot;.&quot; StringGroup=&quot;none&quot;/&gt;&lt;/Display&gt;&lt;/Doc&gt;&lt;/KyMRNote&gt;"/>
    <w:docVar w:name="KY.MR.DATA{3CFD8CDF-73D2-403E-9321-3C6D26054DD8}17401" w:val="&lt;KyMRNote dbid=&quot;{3CFD8CDF-73D2-403E-9321-3C6D26054DD8}&quot; recid=&quot;17401&quot;&gt;&lt;Data&gt;&lt;Field id=&quot;AccessNum&quot;&gt;&lt;/Field&gt;&lt;Field id=&quot;Author&quot;&gt;郭帅;宫殿博;路小光;白黎智;范治伟;王迎莉;&lt;/Field&gt;&lt;Field id=&quot;AuthorTrans&quot;&gt;&lt;/Field&gt;&lt;Field id=&quot;DOI&quot;&gt;&lt;/Field&gt;&lt;Field id=&quot;Editor&quot;&gt;&lt;/Field&gt;&lt;Field id=&quot;FmtTitle&quot;&gt;&lt;/Field&gt;&lt;Field id=&quot;Issue&quot;&gt;02&lt;/Field&gt;&lt;Field id=&quot;LIID&quot;&gt;17401&lt;/Field&gt;&lt;Field id=&quot;Magazine&quot;&gt;中国医疗器械信息&lt;/Field&gt;&lt;Field id=&quot;MagazineAB&quot;&gt;&lt;/Field&gt;&lt;Field id=&quot;MagazineTrans&quot;&gt;&lt;/Field&gt;&lt;Field id=&quot;PageNum&quot;&gt;3-5+27&lt;/Field&gt;&lt;Field id=&quot;PubDate&quot;&gt;2014-02-25&lt;/Field&gt;&lt;Field id=&quot;PubPlace&quot;&gt;&lt;/Field&gt;&lt;Field id=&quot;PubPlaceTrans&quot;&gt;&lt;/Field&gt;&lt;Field id=&quot;PubYear&quot;&gt;2014&lt;/Field&gt;&lt;Field id=&quot;Publisher&quot;&gt;大连大学附属中山医院急诊医学科;&lt;/Field&gt;&lt;Field id=&quot;PublisherTrans&quot;&gt;&lt;/Field&gt;&lt;Field id=&quot;TITrans&quot;&gt;&lt;/Field&gt;&lt;Field id=&quot;Title&quot;&gt;萨勃心肺复苏机在急诊的临床使用分析&lt;/Field&gt;&lt;Field id=&quot;Translator&quot;&gt;&lt;/Field&gt;&lt;Field id=&quot;Type&quot;&gt;{041D4F77-279E-4405-0002-4388361B9CFF}&lt;/Field&gt;&lt;Field id=&quot;Version&quot;&gt;&lt;/Field&gt;&lt;Field id=&quot;Vol&quot;&gt;20&lt;/Field&gt;&lt;Field id=&quot;Author2&quot;&gt;郭帅,;宫殿博,;路小光,;白黎智,;范治伟,;王迎莉,;&lt;/Field&gt;&lt;/Data&gt;&lt;Ref&gt;&lt;Display&gt;&lt;Text StringText=&quot;「RefIndex」&quot; StringTextOri=&quot;「RefIndex」&quot; SuperScript=&quot;true&quot;/&gt;&lt;/Display&gt;&lt;/Ref&gt;&lt;Doc&gt;&lt;Display&gt;&lt;Text StringText=&quot;郭帅, 宫殿博, 路小光, 白黎智, 范治伟, 王迎莉&quot; StringGroup=&quot;Author&quot;/&gt;&lt;Text StringText=&quot;. &quot; StringGroup=&quot;Author&quot;/&gt;&lt;Text StringText=&quot;萨勃心肺复苏机在急诊的临床使用分析&quot; StringGroup=&quot;Title&quot;/&gt;&lt;Text StringText=&quot;. &quot; StringGroup=&quot;Title&quot;/&gt;&lt;Text StringText=&quot;中国医疗器械信息&quot; StringGroup=&quot;Magazine&quot;/&gt;&lt;Text StringText=&quot;. &quot; StringGroup=&quot;Magazine&quot;/&gt;&lt;Text StringText=&quot;2014&quot; StringGroup=&quot;PubYear&quot;/&gt;&lt;Text StringText=&quot;. &quot; StringGroup=&quot;PubYear&quot;/&gt;&lt;Text StringText=&quot;20&quot; StringGroup=&quot;Vol&quot;/&gt;&lt;Text StringText=&quot;(&quot; StringGroup=&quot;Issue&quot;/&gt;&lt;Text StringText=&quot;02&quot; StringGroup=&quot;Issue&quot;/&gt;&lt;Text StringText=&quot;)&quot; StringGroup=&quot;Issue&quot;/&gt;&lt;Text StringText=&quot;: &quot; StringGroup=&quot;PageNum&quot;/&gt;&lt;Text StringText=&quot;3-5+27&quot; StringGroup=&quot;PageNum&quot;/&gt;&lt;Text StringText=&quot;.&quot; StringGroup=&quot;none&quot;/&gt;&lt;/Display&gt;&lt;/Doc&gt;&lt;/KyMRNote&gt;"/>
    <w:docVar w:name="KY.MR.DATA{3CFD8CDF-73D2-403E-9321-3C6D26054DD8}17402" w:val="&lt;KyMRNote dbid=&quot;{3CFD8CDF-73D2-403E-9321-3C6D26054DD8}&quot; recid=&quot;17402&quot;&gt;&lt;Data&gt;&lt;Field id=&quot;AccessNum&quot;&gt;14411374&lt;/Field&gt;&lt;Field id=&quot;Author&quot;&gt;KOUWENHOVEN WB;JUDE JR;KNICKERBOCKER GG&lt;/Field&gt;&lt;Field id=&quot;AuthorTrans&quot;&gt;&lt;/Field&gt;&lt;Field id=&quot;DOI&quot;&gt;&lt;/Field&gt;&lt;Field id=&quot;Editor&quot;&gt;&lt;/Field&gt;&lt;Field id=&quot;FmtTitle&quot;&gt;&lt;/Field&gt;&lt;Field id=&quot;Issue&quot;&gt;&lt;/Field&gt;&lt;Field id=&quot;LIID&quot;&gt;17402&lt;/Field&gt;&lt;Field id=&quot;Magazine&quot;&gt;JAMA&lt;/Field&gt;&lt;Field id=&quot;MagazineAB&quot;&gt;JAMA&lt;/Field&gt;&lt;Field id=&quot;MagazineTrans&quot;&gt;&lt;/Field&gt;&lt;Field id=&quot;PageNum&quot;&gt;1064-7&lt;/Field&gt;&lt;Field id=&quot;PubDate&quot;&gt;Jul 09&lt;/Field&gt;&lt;Field id=&quot;PubPlace&quot;&gt;United States&lt;/Field&gt;&lt;Field id=&quot;PubPlaceTrans&quot;&gt;&lt;/Field&gt;&lt;Field id=&quot;PubYear&quot;&gt;1960&lt;/Field&gt;&lt;Field id=&quot;Publisher&quot;&gt;&lt;/Field&gt;&lt;Field id=&quot;PublisherTrans&quot;&gt;&lt;/Field&gt;&lt;Field id=&quot;TITrans&quot;&gt;&lt;/Field&gt;&lt;Field id=&quot;Title&quot;&gt;Closed-chest cardiac massage.&lt;/Field&gt;&lt;Field id=&quot;Translator&quot;&gt;&lt;/Field&gt;&lt;Field id=&quot;Type&quot;&gt;{041D4F77-279E-4405-0002-4388361B9CFF}&lt;/Field&gt;&lt;Field id=&quot;Version&quot;&gt;&lt;/Field&gt;&lt;Field id=&quot;Vol&quot;&gt;173&lt;/Field&gt;&lt;Field id=&quot;Author2&quot;&gt;KOUWENHOVEN,WB;JUDE,JR;KNICKERBOCKER,GG;&lt;/Field&gt;&lt;/Data&gt;&lt;Ref&gt;&lt;Display&gt;&lt;Text StringText=&quot;「RefIndex」&quot; StringTextOri=&quot;「RefIndex」&quot; SuperScript=&quot;true&quot;/&gt;&lt;/Display&gt;&lt;/Ref&gt;&lt;Doc&gt;&lt;Display&gt;&lt;Text StringText=&quot;KOUWENHOVEN WB, JUDE JR, KNICKERBOCKER GG&quot; StringGroup=&quot;Author&quot;/&gt;&lt;Text StringText=&quot;. &quot; StringGroup=&quot;Author&quot;/&gt;&lt;Text StringText=&quot;Closed-chest cardiac massage&quot; StringGroup=&quot;Title&quot;/&gt;&lt;Text StringText=&quot;. &quot; StringGroup=&quot;Title&quot;/&gt;&lt;Text StringText=&quot;JAMA&quot; StringGroup=&quot;Magazine&quot;/&gt;&lt;Text StringText=&quot;. &quot; StringGroup=&quot;Magazine&quot;/&gt;&lt;Text StringText=&quot;1960&quot; StringGroup=&quot;PubYear&quot;/&gt;&lt;Text StringText=&quot;. &quot; StringGroup=&quot;PubYear&quot;/&gt;&lt;Text StringText=&quot;173&quot; StringGroup=&quot;Vol&quot;/&gt;&lt;Text StringText=&quot;: &quot; StringGroup=&quot;PageNum&quot;/&gt;&lt;Text StringText=&quot;1064-7&quot; StringGroup=&quot;PageNum&quot;/&gt;&lt;Text StringText=&quot;.&quot; StringGroup=&quot;none&quot;/&gt;&lt;/Display&gt;&lt;/Doc&gt;&lt;/KyMRNote&gt;"/>
    <w:docVar w:name="KY.MR.DATA{3CFD8CDF-73D2-403E-9321-3C6D26054DD8}17403" w:val="&lt;KyMRNote dbid=&quot;{3CFD8CDF-73D2-403E-9321-3C6D26054DD8}&quot; recid=&quot;17403&quot;&gt;&lt;Data&gt;&lt;Field id=&quot;AccessNum&quot;&gt;&lt;/Field&gt;&lt;Field id=&quot;Author&quot;&gt;石廷慧;林保冠;汪波;吴世畅;张全鹏;&lt;/Field&gt;&lt;Field id=&quot;AuthorTrans&quot;&gt;&lt;/Field&gt;&lt;Field id=&quot;DOI&quot;&gt;&lt;/Field&gt;&lt;Field id=&quot;Editor&quot;&gt;&lt;/Field&gt;&lt;Field id=&quot;FmtTitle&quot;&gt;&lt;/Field&gt;&lt;Field id=&quot;Issue&quot;&gt;34&lt;/Field&gt;&lt;Field id=&quot;LIID&quot;&gt;17403&lt;/Field&gt;&lt;Field id=&quot;Magazine&quot;&gt;重庆医学&lt;/Field&gt;&lt;Field id=&quot;MagazineAB&quot;&gt;&lt;/Field&gt;&lt;Field id=&quot;MagazineTrans&quot;&gt;&lt;/Field&gt;&lt;Field id=&quot;PageNum&quot;&gt;4613-4615&lt;/Field&gt;&lt;Field id=&quot;PubDate&quot;&gt;2014-12-10&lt;/Field&gt;&lt;Field id=&quot;PubPlace&quot;&gt;&lt;/Field&gt;&lt;Field id=&quot;PubPlaceTrans&quot;&gt;&lt;/Field&gt;&lt;Field id=&quot;PubYear&quot;&gt;2014&lt;/Field&gt;&lt;Field id=&quot;Publisher&quot;&gt;海南省农垦三亚医院急诊科;海南医学院解剖学教研室;&lt;/Field&gt;&lt;Field id=&quot;PublisherTrans&quot;&gt;&lt;/Field&gt;&lt;Field id=&quot;TITrans&quot;&gt;&lt;/Field&gt;&lt;Field id=&quot;Title&quot;&gt;心肺复苏机在心搏骤停患者院前急救中的应用效果&lt;/Field&gt;&lt;Field id=&quot;Translator&quot;&gt;&lt;/Field&gt;&lt;Field id=&quot;Type&quot;&gt;{041D4F77-279E-4405-0002-4388361B9CFF}&lt;/Field&gt;&lt;Field id=&quot;Version&quot;&gt;&lt;/Field&gt;&lt;Field id=&quot;Vol&quot;&gt;43&lt;/Field&gt;&lt;Field id=&quot;Author2&quot;&gt;石廷慧,;林保冠,;汪波,;吴世畅,;张全鹏,;&lt;/Field&gt;&lt;/Data&gt;&lt;Ref&gt;&lt;Display&gt;&lt;Text StringText=&quot;「RefIndex」&quot; StringTextOri=&quot;「RefIndex」&quot; SuperScript=&quot;true&quot;/&gt;&lt;/Display&gt;&lt;/Ref&gt;&lt;Doc&gt;&lt;Display&gt;&lt;Text StringText=&quot;石廷慧, 林保冠, 汪波, 吴世畅, 张全鹏&quot; StringGroup=&quot;Author&quot;/&gt;&lt;Text StringText=&quot;. &quot; StringGroup=&quot;Author&quot;/&gt;&lt;Text StringText=&quot;心肺复苏机在心搏骤停患者院前急救中的应用效果&quot; StringGroup=&quot;Title&quot;/&gt;&lt;Text StringText=&quot;. &quot; StringGroup=&quot;Title&quot;/&gt;&lt;Text StringText=&quot;重庆医学&quot; StringGroup=&quot;Magazine&quot;/&gt;&lt;Text StringText=&quot;. &quot; StringGroup=&quot;Magazine&quot;/&gt;&lt;Text StringText=&quot;2014&quot; StringGroup=&quot;PubYear&quot;/&gt;&lt;Text StringText=&quot;. &quot; StringGroup=&quot;PubYear&quot;/&gt;&lt;Text StringText=&quot;43&quot; StringGroup=&quot;Vol&quot;/&gt;&lt;Text StringText=&quot;(&quot; StringGroup=&quot;Issue&quot;/&gt;&lt;Text StringText=&quot;34&quot; StringGroup=&quot;Issue&quot;/&gt;&lt;Text StringText=&quot;)&quot; StringGroup=&quot;Issue&quot;/&gt;&lt;Text StringText=&quot;: &quot; StringGroup=&quot;PageNum&quot;/&gt;&lt;Text StringText=&quot;4613-4615&quot; StringGroup=&quot;PageNum&quot;/&gt;&lt;Text StringText=&quot;.&quot; StringGroup=&quot;none&quot;/&gt;&lt;/Display&gt;&lt;/Doc&gt;&lt;/KyMRNote&gt;"/>
    <w:docVar w:name="KY.MR.DATA{3CFD8CDF-73D2-403E-9321-3C6D26054DD8}17453" w:val="&lt;KyMRNote dbid=&quot;{3CFD8CDF-73D2-403E-9321-3C6D26054DD8}&quot; recid=&quot;17453&quot;&gt;&lt;Data&gt;&lt;Field id=&quot;AccessNum&quot;&gt;&lt;/Field&gt;&lt;Field id=&quot;Author&quot;&gt;蒋健;&lt;/Field&gt;&lt;Field id=&quot;AuthorTrans&quot;&gt;&lt;/Field&gt;&lt;Field id=&quot;DOI&quot;&gt;&lt;/Field&gt;&lt;Field id=&quot;Editor&quot;&gt;&lt;/Field&gt;&lt;Field id=&quot;FmtTitle&quot;&gt;&lt;/Field&gt;&lt;Field id=&quot;Issue&quot;&gt;06&lt;/Field&gt;&lt;Field id=&quot;LIID&quot;&gt;17453&lt;/Field&gt;&lt;Field id=&quot;Magazine&quot;&gt;内科理论与实践&lt;/Field&gt;&lt;Field id=&quot;MagazineAB&quot;&gt;&lt;/Field&gt;&lt;Field id=&quot;MagazineTrans&quot;&gt;&lt;/Field&gt;&lt;Field id=&quot;PageNum&quot;&gt;526-528&lt;/Field&gt;&lt;Field id=&quot;PubDate&quot;&gt;2009-11-18&lt;/Field&gt;&lt;Field id=&quot;PubPlace&quot;&gt;&lt;/Field&gt;&lt;Field id=&quot;PubPlaceTrans&quot;&gt;&lt;/Field&gt;&lt;Field id=&quot;PubYear&quot;&gt;2009&lt;/Field&gt;&lt;Field id=&quot;Publisher&quot;&gt;上海交通大学医学院附属瑞金医院急诊科;&lt;/Field&gt;&lt;Field id=&quot;PublisherTrans&quot;&gt;&lt;/Field&gt;&lt;Field id=&quot;TITrans&quot;&gt;&lt;/Field&gt;&lt;Field id=&quot;Title&quot;&gt;对国际复苏联盟关于心脏停搏后综合征共识的一点认识&lt;/Field&gt;&lt;Field id=&quot;Translator&quot;&gt;&lt;/Field&gt;&lt;Field id=&quot;Type&quot;&gt;{041D4F77-279E-4405-0002-4388361B9CFF}&lt;/Field&gt;&lt;Field id=&quot;Version&quot;&gt;&lt;/Field&gt;&lt;Field id=&quot;Vol&quot;&gt;4&lt;/Field&gt;&lt;Field id=&quot;Author2&quot;&gt;蒋健,;&lt;/Field&gt;&lt;/Data&gt;&lt;Ref&gt;&lt;Display&gt;&lt;Text StringText=&quot;「RefIndex」&quot; StringTextOri=&quot;「RefIndex」&quot; SuperScript=&quot;true&quot;/&gt;&lt;/Display&gt;&lt;/Ref&gt;&lt;Doc&gt;&lt;Display&gt;&lt;Text StringText=&quot;蒋健&quot; StringGroup=&quot;Author&quot;/&gt;&lt;Text StringText=&quot;. &quot; StringGroup=&quot;Author&quot;/&gt;&lt;Text StringText=&quot;对国际复苏联盟关于心脏停搏后综合征共识的一点认识&quot; StringGroup=&quot;Title&quot;/&gt;&lt;Text StringText=&quot;. &quot; StringGroup=&quot;Title&quot;/&gt;&lt;Text StringText=&quot;内科理论与实践&quot; StringGroup=&quot;Magazine&quot;/&gt;&lt;Text StringText=&quot;. &quot; StringGroup=&quot;Magazine&quot;/&gt;&lt;Text StringText=&quot;2009&quot; StringGroup=&quot;PubYear&quot;/&gt;&lt;Text StringText=&quot;. &quot; StringGroup=&quot;PubYear&quot;/&gt;&lt;Text StringText=&quot;4&quot; StringGroup=&quot;Vol&quot;/&gt;&lt;Text StringText=&quot;(&quot; StringGroup=&quot;Issue&quot;/&gt;&lt;Text StringText=&quot;06&quot; StringGroup=&quot;Issue&quot;/&gt;&lt;Text StringText=&quot;)&quot; StringGroup=&quot;Issue&quot;/&gt;&lt;Text StringText=&quot;: &quot; StringGroup=&quot;PageNum&quot;/&gt;&lt;Text StringText=&quot;526-528&quot; StringGroup=&quot;PageNum&quot;/&gt;&lt;Text StringText=&quot;.&quot; StringGroup=&quot;none&quot;/&gt;&lt;/Display&gt;&lt;/Doc&gt;&lt;/KyMRNote&gt;"/>
    <w:docVar w:name="KY_MEDREF_DOCUID" w:val="{9A57AB51-27E3-4027-A50D-B6F99CDA0897}"/>
    <w:docVar w:name="KY_MEDREF_VERSION" w:val="3"/>
  </w:docVars>
  <w:rsids>
    <w:rsidRoot w:val="00E35232"/>
    <w:rsid w:val="000146CA"/>
    <w:rsid w:val="00024932"/>
    <w:rsid w:val="00030754"/>
    <w:rsid w:val="00046A93"/>
    <w:rsid w:val="00065508"/>
    <w:rsid w:val="00067B11"/>
    <w:rsid w:val="00093CC6"/>
    <w:rsid w:val="000A5198"/>
    <w:rsid w:val="000B2F97"/>
    <w:rsid w:val="000E1A6B"/>
    <w:rsid w:val="00116053"/>
    <w:rsid w:val="0012173D"/>
    <w:rsid w:val="00135DE8"/>
    <w:rsid w:val="00171212"/>
    <w:rsid w:val="00174854"/>
    <w:rsid w:val="00184E3D"/>
    <w:rsid w:val="001A0616"/>
    <w:rsid w:val="001A5F11"/>
    <w:rsid w:val="001C1AA1"/>
    <w:rsid w:val="001C2857"/>
    <w:rsid w:val="001E5B98"/>
    <w:rsid w:val="001F1721"/>
    <w:rsid w:val="001F19B5"/>
    <w:rsid w:val="002108FA"/>
    <w:rsid w:val="002327C3"/>
    <w:rsid w:val="00273AD2"/>
    <w:rsid w:val="00294BF9"/>
    <w:rsid w:val="002A261C"/>
    <w:rsid w:val="002A6E9C"/>
    <w:rsid w:val="002B5A62"/>
    <w:rsid w:val="002C2213"/>
    <w:rsid w:val="0030560E"/>
    <w:rsid w:val="00307D9B"/>
    <w:rsid w:val="0033190D"/>
    <w:rsid w:val="00334340"/>
    <w:rsid w:val="003750D4"/>
    <w:rsid w:val="0039580C"/>
    <w:rsid w:val="00404600"/>
    <w:rsid w:val="00425774"/>
    <w:rsid w:val="00435096"/>
    <w:rsid w:val="00437B8C"/>
    <w:rsid w:val="0046369D"/>
    <w:rsid w:val="00471C41"/>
    <w:rsid w:val="00493D94"/>
    <w:rsid w:val="004A1A6C"/>
    <w:rsid w:val="004D7D5F"/>
    <w:rsid w:val="004E7F5D"/>
    <w:rsid w:val="004F214C"/>
    <w:rsid w:val="004F4A88"/>
    <w:rsid w:val="00510A71"/>
    <w:rsid w:val="005269CD"/>
    <w:rsid w:val="00530753"/>
    <w:rsid w:val="005347FE"/>
    <w:rsid w:val="00550FF4"/>
    <w:rsid w:val="005674B6"/>
    <w:rsid w:val="005847AE"/>
    <w:rsid w:val="00594FB5"/>
    <w:rsid w:val="005A1E05"/>
    <w:rsid w:val="005A4C7D"/>
    <w:rsid w:val="005A6206"/>
    <w:rsid w:val="005A7CEF"/>
    <w:rsid w:val="005B5C3C"/>
    <w:rsid w:val="005D4627"/>
    <w:rsid w:val="005D59E8"/>
    <w:rsid w:val="005E1930"/>
    <w:rsid w:val="005F74C6"/>
    <w:rsid w:val="0060288B"/>
    <w:rsid w:val="00606A03"/>
    <w:rsid w:val="00607D5C"/>
    <w:rsid w:val="006164EE"/>
    <w:rsid w:val="00617C2A"/>
    <w:rsid w:val="0064067D"/>
    <w:rsid w:val="00654AAB"/>
    <w:rsid w:val="00671193"/>
    <w:rsid w:val="00695EE2"/>
    <w:rsid w:val="006A6B13"/>
    <w:rsid w:val="006B1163"/>
    <w:rsid w:val="006B79FF"/>
    <w:rsid w:val="006F1F01"/>
    <w:rsid w:val="00712C90"/>
    <w:rsid w:val="00721191"/>
    <w:rsid w:val="0074076E"/>
    <w:rsid w:val="007416BC"/>
    <w:rsid w:val="007529C7"/>
    <w:rsid w:val="0078411D"/>
    <w:rsid w:val="007A228E"/>
    <w:rsid w:val="007C6715"/>
    <w:rsid w:val="00802D5D"/>
    <w:rsid w:val="0080641E"/>
    <w:rsid w:val="00814C59"/>
    <w:rsid w:val="008153BD"/>
    <w:rsid w:val="00830BDC"/>
    <w:rsid w:val="008374AA"/>
    <w:rsid w:val="0084019D"/>
    <w:rsid w:val="00866538"/>
    <w:rsid w:val="00877160"/>
    <w:rsid w:val="00891743"/>
    <w:rsid w:val="00894724"/>
    <w:rsid w:val="008A638D"/>
    <w:rsid w:val="008A6AA4"/>
    <w:rsid w:val="008B0373"/>
    <w:rsid w:val="008C1EFE"/>
    <w:rsid w:val="008F3362"/>
    <w:rsid w:val="008F7E9C"/>
    <w:rsid w:val="00940477"/>
    <w:rsid w:val="00961122"/>
    <w:rsid w:val="00971380"/>
    <w:rsid w:val="009732B5"/>
    <w:rsid w:val="0099146D"/>
    <w:rsid w:val="009A0B8A"/>
    <w:rsid w:val="009A7442"/>
    <w:rsid w:val="009B13C4"/>
    <w:rsid w:val="009F1B24"/>
    <w:rsid w:val="00A1115B"/>
    <w:rsid w:val="00A172BD"/>
    <w:rsid w:val="00A32C5E"/>
    <w:rsid w:val="00A344C7"/>
    <w:rsid w:val="00A5708C"/>
    <w:rsid w:val="00A621C1"/>
    <w:rsid w:val="00A95EE3"/>
    <w:rsid w:val="00AC64BA"/>
    <w:rsid w:val="00AF52A3"/>
    <w:rsid w:val="00B052BA"/>
    <w:rsid w:val="00B067B9"/>
    <w:rsid w:val="00B12435"/>
    <w:rsid w:val="00B27999"/>
    <w:rsid w:val="00B279F5"/>
    <w:rsid w:val="00B35295"/>
    <w:rsid w:val="00B45B73"/>
    <w:rsid w:val="00B50C33"/>
    <w:rsid w:val="00B52019"/>
    <w:rsid w:val="00B531AD"/>
    <w:rsid w:val="00B64292"/>
    <w:rsid w:val="00B64878"/>
    <w:rsid w:val="00B664E9"/>
    <w:rsid w:val="00B7258E"/>
    <w:rsid w:val="00B803AA"/>
    <w:rsid w:val="00B93B9E"/>
    <w:rsid w:val="00BA6510"/>
    <w:rsid w:val="00BB3CAC"/>
    <w:rsid w:val="00BC03E2"/>
    <w:rsid w:val="00BC1976"/>
    <w:rsid w:val="00BC3D99"/>
    <w:rsid w:val="00BC7371"/>
    <w:rsid w:val="00BD2814"/>
    <w:rsid w:val="00BE7ADD"/>
    <w:rsid w:val="00BF7F2D"/>
    <w:rsid w:val="00C01638"/>
    <w:rsid w:val="00C04F48"/>
    <w:rsid w:val="00C06BD9"/>
    <w:rsid w:val="00C64797"/>
    <w:rsid w:val="00C721D2"/>
    <w:rsid w:val="00C771CD"/>
    <w:rsid w:val="00C8341C"/>
    <w:rsid w:val="00C95637"/>
    <w:rsid w:val="00C97BFF"/>
    <w:rsid w:val="00CC7A0D"/>
    <w:rsid w:val="00CD3FF6"/>
    <w:rsid w:val="00CE3ABD"/>
    <w:rsid w:val="00CE7F8E"/>
    <w:rsid w:val="00D05C27"/>
    <w:rsid w:val="00D10E34"/>
    <w:rsid w:val="00D1744E"/>
    <w:rsid w:val="00D214BE"/>
    <w:rsid w:val="00D27939"/>
    <w:rsid w:val="00D53906"/>
    <w:rsid w:val="00D91245"/>
    <w:rsid w:val="00D91459"/>
    <w:rsid w:val="00DA4266"/>
    <w:rsid w:val="00DD56B3"/>
    <w:rsid w:val="00DF4C6C"/>
    <w:rsid w:val="00E35232"/>
    <w:rsid w:val="00E422EA"/>
    <w:rsid w:val="00E45E17"/>
    <w:rsid w:val="00E46E27"/>
    <w:rsid w:val="00E81C30"/>
    <w:rsid w:val="00E904CC"/>
    <w:rsid w:val="00E95357"/>
    <w:rsid w:val="00EA00B0"/>
    <w:rsid w:val="00EB58C9"/>
    <w:rsid w:val="00EB5D27"/>
    <w:rsid w:val="00EC1EEA"/>
    <w:rsid w:val="00EC661D"/>
    <w:rsid w:val="00EE719B"/>
    <w:rsid w:val="00EF0DBC"/>
    <w:rsid w:val="00EF1245"/>
    <w:rsid w:val="00EF2483"/>
    <w:rsid w:val="00F03EBC"/>
    <w:rsid w:val="00F335B2"/>
    <w:rsid w:val="00F508F6"/>
    <w:rsid w:val="00F52F5D"/>
    <w:rsid w:val="00F607B3"/>
    <w:rsid w:val="00F70616"/>
    <w:rsid w:val="00F70972"/>
    <w:rsid w:val="00F7682B"/>
    <w:rsid w:val="00F770F8"/>
    <w:rsid w:val="00F8723F"/>
    <w:rsid w:val="00F95FC5"/>
    <w:rsid w:val="00FA34CE"/>
    <w:rsid w:val="00FD0B12"/>
    <w:rsid w:val="00FD2B63"/>
    <w:rsid w:val="00FF6714"/>
    <w:rsid w:val="03AA7B5F"/>
    <w:rsid w:val="08791D01"/>
    <w:rsid w:val="2C0559CB"/>
    <w:rsid w:val="386C308D"/>
    <w:rsid w:val="4FB05ACA"/>
    <w:rsid w:val="527D210B"/>
    <w:rsid w:val="5B883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Balloon Text"/>
    <w:basedOn w:val="1"/>
    <w:link w:val="22"/>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6"/>
    <w:semiHidden/>
    <w:unhideWhenUsed/>
    <w:qFormat/>
    <w:uiPriority w:val="99"/>
    <w:pPr>
      <w:snapToGrid w:val="0"/>
      <w:jc w:val="left"/>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semiHidden/>
    <w:unhideWhenUsed/>
    <w:qFormat/>
    <w:uiPriority w:val="0"/>
    <w:rPr>
      <w:color w:val="0000FF"/>
      <w:u w:val="single"/>
    </w:rPr>
  </w:style>
  <w:style w:type="character" w:styleId="13">
    <w:name w:val="footnote reference"/>
    <w:basedOn w:val="9"/>
    <w:semiHidden/>
    <w:unhideWhenUsed/>
    <w:qFormat/>
    <w:uiPriority w:val="99"/>
    <w:rPr>
      <w:vertAlign w:val="superscript"/>
    </w:rPr>
  </w:style>
  <w:style w:type="character" w:customStyle="1" w:styleId="14">
    <w:name w:val="页眉 字符"/>
    <w:basedOn w:val="9"/>
    <w:link w:val="5"/>
    <w:qFormat/>
    <w:uiPriority w:val="99"/>
    <w:rPr>
      <w:sz w:val="18"/>
      <w:szCs w:val="18"/>
    </w:rPr>
  </w:style>
  <w:style w:type="character" w:customStyle="1" w:styleId="15">
    <w:name w:val="页脚 字符"/>
    <w:basedOn w:val="9"/>
    <w:link w:val="4"/>
    <w:qFormat/>
    <w:uiPriority w:val="99"/>
    <w:rPr>
      <w:sz w:val="18"/>
      <w:szCs w:val="18"/>
    </w:rPr>
  </w:style>
  <w:style w:type="character" w:customStyle="1" w:styleId="16">
    <w:name w:val="脚注文本 字符"/>
    <w:basedOn w:val="9"/>
    <w:link w:val="6"/>
    <w:semiHidden/>
    <w:qFormat/>
    <w:uiPriority w:val="99"/>
    <w:rPr>
      <w:sz w:val="18"/>
      <w:szCs w:val="18"/>
    </w:rPr>
  </w:style>
  <w:style w:type="paragraph" w:styleId="17">
    <w:name w:val="No Spacing"/>
    <w:qFormat/>
    <w:uiPriority w:val="1"/>
    <w:pPr>
      <w:widowControl w:val="0"/>
    </w:pPr>
    <w:rPr>
      <w:rFonts w:asciiTheme="minorHAnsi" w:hAnsiTheme="minorHAnsi" w:eastAsiaTheme="minorEastAsia" w:cstheme="minorBidi"/>
      <w:kern w:val="2"/>
      <w:sz w:val="21"/>
      <w:szCs w:val="22"/>
      <w:lang w:val="en-US" w:eastAsia="zh-CN" w:bidi="ar-SA"/>
    </w:rPr>
  </w:style>
  <w:style w:type="character" w:customStyle="1" w:styleId="18">
    <w:name w:val="Intense Emphasis"/>
    <w:basedOn w:val="9"/>
    <w:qFormat/>
    <w:uiPriority w:val="21"/>
    <w:rPr>
      <w:b/>
      <w:bCs/>
      <w:i/>
      <w:iCs/>
      <w:color w:val="4F81BD" w:themeColor="accent1"/>
      <w14:textFill>
        <w14:solidFill>
          <w14:schemeClr w14:val="accent1"/>
        </w14:solidFill>
      </w14:textFill>
    </w:rPr>
  </w:style>
  <w:style w:type="paragraph" w:styleId="19">
    <w:name w:val="Quote"/>
    <w:basedOn w:val="1"/>
    <w:next w:val="1"/>
    <w:link w:val="20"/>
    <w:qFormat/>
    <w:uiPriority w:val="29"/>
    <w:rPr>
      <w:i/>
      <w:iCs/>
      <w:color w:val="000000" w:themeColor="text1"/>
      <w14:textFill>
        <w14:solidFill>
          <w14:schemeClr w14:val="tx1"/>
        </w14:solidFill>
      </w14:textFill>
    </w:rPr>
  </w:style>
  <w:style w:type="character" w:customStyle="1" w:styleId="20">
    <w:name w:val="引用 字符"/>
    <w:basedOn w:val="9"/>
    <w:link w:val="19"/>
    <w:qFormat/>
    <w:uiPriority w:val="29"/>
    <w:rPr>
      <w:i/>
      <w:iCs/>
      <w:color w:val="000000" w:themeColor="text1"/>
      <w14:textFill>
        <w14:solidFill>
          <w14:schemeClr w14:val="tx1"/>
        </w14:solidFill>
      </w14:textFill>
    </w:rPr>
  </w:style>
  <w:style w:type="paragraph" w:customStyle="1" w:styleId="21">
    <w:name w:val="样式1"/>
    <w:basedOn w:val="17"/>
    <w:qFormat/>
    <w:uiPriority w:val="0"/>
  </w:style>
  <w:style w:type="character" w:customStyle="1" w:styleId="22">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445D7-6407-4C19-AEFD-CC3CB9A48E5C}">
  <ds:schemaRefs/>
</ds:datastoreItem>
</file>

<file path=docProps/app.xml><?xml version="1.0" encoding="utf-8"?>
<Properties xmlns="http://schemas.openxmlformats.org/officeDocument/2006/extended-properties" xmlns:vt="http://schemas.openxmlformats.org/officeDocument/2006/docPropsVTypes">
  <Template>Normal</Template>
  <Pages>4</Pages>
  <Words>3116</Words>
  <Characters>5207</Characters>
  <Lines>50</Lines>
  <Paragraphs>14</Paragraphs>
  <TotalTime>27</TotalTime>
  <ScaleCrop>false</ScaleCrop>
  <LinksUpToDate>false</LinksUpToDate>
  <CharactersWithSpaces>5538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2019-04-01T20:25:00Z</dcterms:created>
  <dc:creator>Windows 用户</dc:creator>
  <cp:lastModifiedBy>  </cp:lastModifiedBy>
  <dcterms:modified xsi:type="dcterms:W3CDTF">2023-01-11T01:33:55Z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9176E74E857E48398CC05E94818C767C</vt:lpwstr>
  </property>
</Properties>
</file>