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b/>
          <w:bCs/>
          <w:sz w:val="32"/>
          <w:szCs w:val="32"/>
        </w:rPr>
      </w:pPr>
      <w:bookmarkStart w:id="0" w:name="_GoBack"/>
      <w:bookmarkEnd w:id="0"/>
      <w:r>
        <w:rPr>
          <w:rFonts w:hint="eastAsia" w:asciiTheme="minorEastAsia" w:hAnsiTheme="minorEastAsia" w:eastAsiaTheme="minorEastAsia" w:cstheme="minorEastAsia"/>
          <w:b/>
          <w:bCs/>
          <w:sz w:val="32"/>
          <w:szCs w:val="32"/>
        </w:rPr>
        <w:t>尿源性脓毒血症合并梗阻内外引流的疗效对比及Clavien-Dindo分级系统并发症分析</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汤天永，吴昀</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景德镇市第一人民医院，江西 景德镇 333000</w:t>
      </w:r>
    </w:p>
    <w:p>
      <w:pPr>
        <w:spacing w:line="240" w:lineRule="auto"/>
        <w:jc w:val="center"/>
        <w:rPr>
          <w:rFonts w:hint="eastAsia" w:asciiTheme="minorEastAsia" w:hAnsiTheme="minorEastAsia" w:eastAsiaTheme="minorEastAsia" w:cstheme="minorEastAsia"/>
          <w:sz w:val="21"/>
          <w:szCs w:val="21"/>
        </w:rPr>
      </w:pP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摘要：目的 </w:t>
      </w:r>
      <w:r>
        <w:rPr>
          <w:rFonts w:hint="eastAsia" w:asciiTheme="minorEastAsia" w:hAnsiTheme="minorEastAsia" w:eastAsiaTheme="minorEastAsia" w:cstheme="minorEastAsia"/>
          <w:sz w:val="21"/>
          <w:szCs w:val="21"/>
        </w:rPr>
        <w:t>对比膀胱镜下留置双J管引流法与经皮肾穿刺引流法对于治疗尿源性脓毒血症合并梗阻患者的疗效及并发症发生率。</w:t>
      </w:r>
      <w:r>
        <w:rPr>
          <w:rFonts w:hint="eastAsia" w:asciiTheme="minorEastAsia" w:hAnsiTheme="minorEastAsia" w:eastAsiaTheme="minorEastAsia" w:cstheme="minorEastAsia"/>
          <w:b/>
          <w:bCs/>
          <w:sz w:val="21"/>
          <w:szCs w:val="21"/>
        </w:rPr>
        <w:t xml:space="preserve">方法 </w:t>
      </w:r>
      <w:r>
        <w:rPr>
          <w:rFonts w:hint="eastAsia" w:asciiTheme="minorEastAsia" w:hAnsiTheme="minorEastAsia" w:eastAsiaTheme="minorEastAsia" w:cstheme="minorEastAsia"/>
          <w:sz w:val="21"/>
          <w:szCs w:val="21"/>
        </w:rPr>
        <w:t>选取2020年7月至2023年7月在景德镇市第一人民医院住院治疗的69例尿脓毒血症患者，随机分为内引流组（n=37）采用膀胱镜下置入双J管，外引流组（n=32）采用超声引导下经皮肾穿刺造瘘术。比较两组感染指标（白细胞计数、中性粒细胞比率、降钙素原）、疗效指标（术后恢复时间）、置管成功率、并发症发生率以及严重并发症发生率。</w:t>
      </w:r>
      <w:r>
        <w:rPr>
          <w:rFonts w:hint="eastAsia" w:asciiTheme="minorEastAsia" w:hAnsiTheme="minorEastAsia" w:eastAsiaTheme="minorEastAsia" w:cstheme="minorEastAsia"/>
          <w:b/>
          <w:bCs/>
          <w:sz w:val="21"/>
          <w:szCs w:val="21"/>
        </w:rPr>
        <w:t xml:space="preserve">结果 </w:t>
      </w:r>
      <w:r>
        <w:rPr>
          <w:rFonts w:hint="eastAsia" w:asciiTheme="minorEastAsia" w:hAnsiTheme="minorEastAsia" w:eastAsiaTheme="minorEastAsia" w:cstheme="minorEastAsia"/>
          <w:sz w:val="21"/>
          <w:szCs w:val="21"/>
        </w:rPr>
        <w:t>内引流组严重并发症的发生率（50%）明显高于外引流组（16.7%），差异有统计学意义（P＜0.05）；但是在总并发症发生率、术后恢复时间及置管成功率的比较中两组无明显统计学差异（</w:t>
      </w:r>
      <w:r>
        <w:rPr>
          <w:rFonts w:hint="eastAsia" w:asciiTheme="minorEastAsia" w:hAnsiTheme="minorEastAsia" w:eastAsiaTheme="minorEastAsia" w:cstheme="minorEastAsia"/>
          <w:bCs/>
          <w:sz w:val="21"/>
          <w:szCs w:val="21"/>
        </w:rPr>
        <w:t>P＞0.05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 xml:space="preserve">结论 </w:t>
      </w:r>
      <w:r>
        <w:rPr>
          <w:rFonts w:hint="eastAsia" w:asciiTheme="minorEastAsia" w:hAnsiTheme="minorEastAsia" w:eastAsiaTheme="minorEastAsia" w:cstheme="minorEastAsia"/>
          <w:sz w:val="21"/>
          <w:szCs w:val="21"/>
        </w:rPr>
        <w:t>治疗尿源性脓毒血症合并梗阻时，膀胱镜下留置双J管引流法与经皮肾穿刺引流均能有效地控制感染，经皮肾穿刺引流能降低严重并发症发生率。</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宋体" w:hAnsi="宋体" w:eastAsia="宋体" w:cs="宋体"/>
          <w:b/>
          <w:bCs/>
          <w:kern w:val="0"/>
          <w:sz w:val="21"/>
          <w:szCs w:val="21"/>
        </w:rPr>
        <w:t>【关键词】</w:t>
      </w:r>
      <w:r>
        <w:rPr>
          <w:rFonts w:hint="eastAsia" w:asciiTheme="minorEastAsia" w:hAnsiTheme="minorEastAsia" w:eastAsiaTheme="minorEastAsia" w:cstheme="minorEastAsia"/>
          <w:sz w:val="21"/>
          <w:szCs w:val="21"/>
        </w:rPr>
        <w:t>尿源性脓毒血症；感染性休克；支架；经皮肾造瘘</w:t>
      </w:r>
    </w:p>
    <w:p>
      <w:pPr>
        <w:spacing w:line="240" w:lineRule="auto"/>
        <w:ind w:firstLine="420" w:firstLineChars="200"/>
        <w:rPr>
          <w:rFonts w:hint="eastAsia" w:asciiTheme="minorEastAsia" w:hAnsiTheme="minorEastAsia" w:eastAsiaTheme="minorEastAsia" w:cstheme="minorEastAsia"/>
          <w:sz w:val="21"/>
          <w:szCs w:val="21"/>
        </w:rPr>
      </w:pPr>
    </w:p>
    <w:p>
      <w:pPr>
        <w:spacing w:line="240" w:lineRule="auto"/>
        <w:ind w:firstLine="420" w:firstLineChars="200"/>
        <w:rPr>
          <w:rFonts w:hint="eastAsia" w:asciiTheme="minorEastAsia" w:hAnsiTheme="minorEastAsia" w:eastAsiaTheme="minorEastAsia" w:cstheme="minorEastAsia"/>
          <w:sz w:val="21"/>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尿源性脓毒血症合并梗阻是泌尿外科领域最为常见且严重的疾病之一，可能危及患者的生命。特别值得注意的是，糖尿病合并脓肾的患者因糖代谢障碍，蛋白合成减少，分解增加，致使免疫球蛋白、抗体和补体的合成减少，淋巴细胞的转化率降低，使得免疫系统受到双重打击，不仅影响着体液免疫功能，还降低了细胞介导的免疫反应</w:t>
      </w:r>
      <w:r>
        <w:rPr>
          <w:rFonts w:hint="eastAsia" w:asciiTheme="minorEastAsia" w:hAnsiTheme="minorEastAsia" w:eastAsiaTheme="minorEastAsia" w:cstheme="minorEastAsia"/>
          <w:sz w:val="21"/>
          <w:szCs w:val="21"/>
          <w:vertAlign w:val="superscript"/>
        </w:rPr>
        <w:t>[1-2]</w:t>
      </w:r>
      <w:r>
        <w:rPr>
          <w:rFonts w:hint="eastAsia" w:asciiTheme="minorEastAsia" w:hAnsiTheme="minorEastAsia" w:eastAsiaTheme="minorEastAsia" w:cstheme="minorEastAsia"/>
          <w:sz w:val="21"/>
          <w:szCs w:val="21"/>
        </w:rPr>
        <w:t>。因此，在临床中糖尿病合并脓肾的治疗较单纯脓肾患者更为棘手。</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脓肾的治疗措施包括充分的引流、广谱抗生素的使用、积极的液体复苏以及细致监测与药物治疗</w:t>
      </w:r>
      <w:r>
        <w:rPr>
          <w:rFonts w:hint="eastAsia" w:asciiTheme="minorEastAsia" w:hAnsiTheme="minorEastAsia" w:eastAsiaTheme="minorEastAsia" w:cstheme="minorEastAsia"/>
          <w:sz w:val="21"/>
          <w:szCs w:val="21"/>
          <w:vertAlign w:val="superscript"/>
        </w:rPr>
        <w:t>[3-4]</w:t>
      </w:r>
      <w:r>
        <w:rPr>
          <w:rFonts w:hint="eastAsia" w:asciiTheme="minorEastAsia" w:hAnsiTheme="minorEastAsia" w:eastAsiaTheme="minorEastAsia" w:cstheme="minorEastAsia"/>
          <w:sz w:val="21"/>
          <w:szCs w:val="21"/>
        </w:rPr>
        <w:t>。及早识别并综合处理脓肾对于改善患者预后至关重要，对于脓肾患者建议在12小时内及时进行适当的引流</w:t>
      </w:r>
      <w:r>
        <w:rPr>
          <w:rFonts w:hint="eastAsia" w:asciiTheme="minorEastAsia" w:hAnsiTheme="minorEastAsia" w:eastAsiaTheme="minorEastAsia" w:cstheme="minorEastAsia"/>
          <w:sz w:val="21"/>
          <w:szCs w:val="21"/>
          <w:vertAlign w:val="superscript"/>
        </w:rPr>
        <w:t>[5]</w:t>
      </w:r>
      <w:r>
        <w:rPr>
          <w:rFonts w:hint="eastAsia" w:asciiTheme="minorEastAsia" w:hAnsiTheme="minorEastAsia" w:eastAsiaTheme="minorEastAsia" w:cstheme="minorEastAsia"/>
          <w:sz w:val="21"/>
          <w:szCs w:val="21"/>
        </w:rPr>
        <w:t>。目前的引流方式主要为输尿管支架管置入术或经皮肾穿刺造瘘术</w:t>
      </w:r>
      <w:r>
        <w:rPr>
          <w:rFonts w:hint="eastAsia" w:asciiTheme="minorEastAsia" w:hAnsiTheme="minorEastAsia" w:eastAsiaTheme="minorEastAsia" w:cstheme="minorEastAsia"/>
          <w:sz w:val="21"/>
          <w:szCs w:val="21"/>
          <w:vertAlign w:val="superscript"/>
        </w:rPr>
        <w:t>[6]</w:t>
      </w:r>
      <w:r>
        <w:rPr>
          <w:rFonts w:hint="eastAsia" w:asciiTheme="minorEastAsia" w:hAnsiTheme="minorEastAsia" w:eastAsiaTheme="minorEastAsia" w:cstheme="minorEastAsia"/>
          <w:sz w:val="21"/>
          <w:szCs w:val="21"/>
        </w:rPr>
        <w:t>。研究报道两种引流措施在临床应用中具有各自的优劣势。本实验主要目的是比较膀胱镜下留置双J管引流法与经皮肾穿刺引流在脓肾患者治疗中的疗效及并发症发生率。</w:t>
      </w:r>
    </w:p>
    <w:p>
      <w:pPr>
        <w:spacing w:line="240" w:lineRule="auto"/>
        <w:ind w:firstLine="420" w:firstLineChars="200"/>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一般资料</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1.1 患者选择</w:t>
      </w:r>
      <w:r>
        <w:rPr>
          <w:rFonts w:hint="eastAsia" w:asciiTheme="minorEastAsia" w:hAnsiTheme="minorEastAsia" w:eastAsiaTheme="minorEastAsia" w:cstheme="minorEastAsia"/>
          <w:sz w:val="21"/>
          <w:szCs w:val="21"/>
        </w:rPr>
        <w:tab/>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选取2020年7月至2023年7月在景德镇市第一人民医院住院治疗的69例尿脓毒血症患者，采用随机化法（信封法）分为内引流组和外引流组。其中内引流组：男7例，女30例，年龄31~79岁，平均55.9</w:t>
      </w:r>
      <w:r>
        <w:rPr>
          <w:rFonts w:hint="eastAsia" w:asciiTheme="minorEastAsia" w:hAnsiTheme="minorEastAsia" w:eastAsiaTheme="minorEastAsia" w:cstheme="minorEastAsia"/>
          <w:bCs/>
          <w:sz w:val="21"/>
          <w:szCs w:val="21"/>
        </w:rPr>
        <w:t>±10.89</w:t>
      </w:r>
      <w:r>
        <w:rPr>
          <w:rFonts w:hint="eastAsia" w:asciiTheme="minorEastAsia" w:hAnsiTheme="minorEastAsia" w:eastAsiaTheme="minorEastAsia" w:cstheme="minorEastAsia"/>
          <w:sz w:val="21"/>
          <w:szCs w:val="21"/>
        </w:rPr>
        <w:t>岁，合并糖尿病14例；外引流组：男10例，女22例，年龄21~84岁，平均59.2</w:t>
      </w:r>
      <w:r>
        <w:rPr>
          <w:rFonts w:hint="eastAsia" w:asciiTheme="minorEastAsia" w:hAnsiTheme="minorEastAsia" w:eastAsiaTheme="minorEastAsia" w:cstheme="minorEastAsia"/>
          <w:bCs/>
          <w:sz w:val="21"/>
          <w:szCs w:val="21"/>
        </w:rPr>
        <w:t>±12.01</w:t>
      </w:r>
      <w:r>
        <w:rPr>
          <w:rFonts w:hint="eastAsia" w:asciiTheme="minorEastAsia" w:hAnsiTheme="minorEastAsia" w:eastAsiaTheme="minorEastAsia" w:cstheme="minorEastAsia"/>
          <w:sz w:val="21"/>
          <w:szCs w:val="21"/>
        </w:rPr>
        <w:t>岁，合并糖尿病13例。所有患者均签署知情同意书。</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1.2 纳入标准</w:t>
      </w:r>
    </w:p>
    <w:p>
      <w:pPr>
        <w:spacing w:line="240" w:lineRule="auto"/>
        <w:rPr>
          <w:rFonts w:hint="eastAsia" w:asciiTheme="minorEastAsia" w:hAnsiTheme="minorEastAsia" w:eastAsiaTheme="minorEastAsia" w:cstheme="minorEastAsia"/>
          <w:color w:val="0000FF"/>
          <w:sz w:val="21"/>
          <w:szCs w:val="21"/>
          <w:vertAlign w:val="superscript"/>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a.肾积水；b.实验室检查（血常规、尿常规、尿细菌培养及血细菌培养）和影像学检查（超声、腹部X线片（KUB）及CT）诊断为上尿路结石合并脓毒血症</w:t>
      </w:r>
      <w:r>
        <w:rPr>
          <w:rFonts w:hint="eastAsia" w:asciiTheme="minorEastAsia" w:hAnsiTheme="minorEastAsia" w:eastAsiaTheme="minorEastAsia" w:cstheme="minorEastAsia"/>
          <w:sz w:val="21"/>
          <w:szCs w:val="21"/>
          <w:vertAlign w:val="superscript"/>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c.满足以下 2 个或以上条件：①体温＞38℃或＜36℃； ②心率＞90次/min； ③呼吸频率＞90次/min 或PaCO2＜32mmHg（＜4.3 kPa）；④白细胞计数＞12×10</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/L 或＜4×10</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/L或未成熟细胞＞10%</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1.3排除标准</w:t>
      </w:r>
    </w:p>
    <w:p>
      <w:pPr>
        <w:spacing w:line="24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①凝血功能障碍者；②合并严重心脑血管疾病或恶性肿瘤者；③耐受性差者；④患有严重的精神疾病者。</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1.4 操作方法</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所有患者均采用三代头孢或碳青霉烯类抗感染，术前早期应用甲强龙控制炎症，其中糖尿病患者住院期间均采用胰岛素皮下注射降糖治疗，血糖严格控制在8~10mmol/L。</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  内引流组：采用膀胱镜下置入双J管，操作方法如下：麻醉满意后，取膀胱截石位，通过注射器手工低压灌注下，使用斑马导丝引导，见混浊或脓、血性引流液自输尿管口涌出，沿斑马导丝置入F5~6双J管至合适深度；术后完善腹部平片（KUB）了解置管成功情况。</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  外引流组：采用超声引导下经皮肾穿刺造瘘术，操作方法如下：在超声引导下急诊穿刺造瘘并留置腹腔穿刺包引流管，通畅引流积脓，控制感染及改善肾功能。予以抗感染、控制血糖、纠正内环境紊乱，术后经皮肾穿刺造瘘留置肾脏造瘘管。</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两组术后均复查血常规和PCT。</w:t>
      </w:r>
    </w:p>
    <w:p>
      <w:pPr>
        <w:spacing w:line="24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1.5 观察指标</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①感染指标：采用血液分析仪检测血白细胞计数（WBC）及中性粒细胞比例（NEUR）；采用化学发光法检测降钙素原（PCT）；②疗效指标：术后恢复时间；③置管成功率；④并发症发生情况：采用 Clavien-Dindo分级系统</w:t>
      </w:r>
      <w:r>
        <w:rPr>
          <w:rFonts w:hint="eastAsia" w:asciiTheme="minorEastAsia" w:hAnsiTheme="minorEastAsia" w:eastAsiaTheme="minorEastAsia" w:cstheme="minorEastAsia"/>
          <w:sz w:val="21"/>
          <w:szCs w:val="21"/>
          <w:vertAlign w:val="superscript"/>
        </w:rPr>
        <w:t>[9-10]</w:t>
      </w:r>
      <w:r>
        <w:rPr>
          <w:rFonts w:hint="eastAsia" w:asciiTheme="minorEastAsia" w:hAnsiTheme="minorEastAsia" w:eastAsiaTheme="minorEastAsia" w:cstheme="minorEastAsia"/>
          <w:sz w:val="21"/>
          <w:szCs w:val="21"/>
        </w:rPr>
        <w:t>对两种手术方式进行并发症发生情况的评估。</w:t>
      </w:r>
    </w:p>
    <w:p>
      <w:pPr>
        <w:spacing w:line="24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1.6 统计学方法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采用SPSS 22.0统计软件进行数据处理。计量资料采用Shapiro-Wilk法进行正态分布检验，符合正态分布的以（</w:t>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EQ \* jc0 \* hps10 \o(\s\up 9(—),X)</w:instrTex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sz w:val="21"/>
          <w:szCs w:val="21"/>
        </w:rPr>
        <w:t>±S</w:t>
      </w:r>
      <w:r>
        <w:rPr>
          <w:rFonts w:hint="eastAsia" w:asciiTheme="minorEastAsia" w:hAnsiTheme="minorEastAsia" w:eastAsiaTheme="minorEastAsia" w:cstheme="minorEastAsia"/>
          <w:sz w:val="21"/>
          <w:szCs w:val="21"/>
        </w:rPr>
        <w:t>）表示，采用t检验；不符合正态分布以中位数（四分位数）表示，采用Wiilcoxon秩和检验，计数资料以[n（%）]表示，采用χ</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检验。以P＜0.05表示差异有统计学意义。</w:t>
      </w:r>
    </w:p>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  结果</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2.1 两组患者一般指标的比较</w:t>
      </w:r>
    </w:p>
    <w:p>
      <w:pPr>
        <w:spacing w:line="240" w:lineRule="auto"/>
        <w:ind w:firstLine="420" w:firstLineChars="200"/>
        <w:rPr>
          <w:rFonts w:hint="eastAsia" w:asciiTheme="minorEastAsia" w:hAnsiTheme="minorEastAsia" w:eastAsiaTheme="minorEastAsia" w:cstheme="minorEastAsia"/>
          <w:sz w:val="21"/>
          <w:szCs w:val="21"/>
          <w:lang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Theme="minorEastAsia" w:hAnsiTheme="minorEastAsia" w:eastAsiaTheme="minorEastAsia" w:cstheme="minorEastAsia"/>
          <w:sz w:val="21"/>
          <w:szCs w:val="21"/>
        </w:rPr>
        <w:t>两组在性别、年龄、术前白细胞计数、肾功能、PCT以及是否合并糖尿病等对比上差异无统计学意义（</w:t>
      </w:r>
      <w:r>
        <w:rPr>
          <w:rFonts w:hint="eastAsia" w:asciiTheme="minorEastAsia" w:hAnsiTheme="minorEastAsia" w:eastAsiaTheme="minorEastAsia" w:cstheme="minorEastAsia"/>
          <w:bCs/>
          <w:sz w:val="21"/>
          <w:szCs w:val="21"/>
        </w:rPr>
        <w:t>P＞0.05</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w:t>
      </w:r>
    </w:p>
    <w:p>
      <w:pPr>
        <w:spacing w:line="24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w:t>
      </w:r>
    </w:p>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表1  两组患者的基线特征</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1"/>
        <w:gridCol w:w="2130"/>
        <w:gridCol w:w="2131"/>
        <w:gridCol w:w="21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参数</w:t>
            </w:r>
          </w:p>
        </w:tc>
        <w:tc>
          <w:tcPr>
            <w:tcW w:w="2130"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内引流组</w:t>
            </w:r>
          </w:p>
        </w:tc>
        <w:tc>
          <w:tcPr>
            <w:tcW w:w="213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外引流组</w:t>
            </w:r>
          </w:p>
        </w:tc>
        <w:tc>
          <w:tcPr>
            <w:tcW w:w="2188"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P值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性别</w:t>
            </w:r>
          </w:p>
        </w:tc>
        <w:tc>
          <w:tcPr>
            <w:tcW w:w="2130"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男7例，女30例</w:t>
            </w:r>
          </w:p>
        </w:tc>
        <w:tc>
          <w:tcPr>
            <w:tcW w:w="2131"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男10例，女22例</w:t>
            </w:r>
          </w:p>
        </w:tc>
        <w:tc>
          <w:tcPr>
            <w:tcW w:w="2188"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P=0.236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年龄</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55.9±10.89</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59.2±12.01</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P=0.240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最高体温</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38.7（37.5，39.2）</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36.95（36.5，38.9）</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P=0.032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血WBC</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12.79（8.43，15.59）</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10.57（8.09，13.82）</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P=0.485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NEU%</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88.6（81.6，92）</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78.05（72.2，85.3）</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PCT</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4.32（0.816，25.695）</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17.87（1.77，36.56）</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P=0.132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肾功能</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102（77.5，148.5）</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124.35（79，159）</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P=0.456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合并糖尿病例数</w:t>
            </w:r>
          </w:p>
        </w:tc>
        <w:tc>
          <w:tcPr>
            <w:tcW w:w="2130"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2131"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2188" w:type="dxa"/>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P=0.813</w:t>
            </w:r>
          </w:p>
        </w:tc>
      </w:tr>
    </w:tbl>
    <w:p>
      <w:pPr>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b/>
          <w:sz w:val="21"/>
          <w:szCs w:val="21"/>
        </w:rPr>
        <w:sectPr>
          <w:type w:val="continuous"/>
          <w:pgSz w:w="11906" w:h="16838"/>
          <w:pgMar w:top="1440" w:right="1800" w:bottom="1440" w:left="1800" w:header="851" w:footer="992" w:gutter="0"/>
          <w:cols w:space="425" w:num="1"/>
          <w:docGrid w:type="lines" w:linePitch="312" w:charSpace="0"/>
        </w:sect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 两组患者置管成功率的比较</w:t>
      </w:r>
    </w:p>
    <w:p>
      <w:pPr>
        <w:spacing w:line="240" w:lineRule="auto"/>
        <w:ind w:firstLine="420" w:firstLineChars="200"/>
        <w:rPr>
          <w:rFonts w:hint="eastAsia" w:asciiTheme="minorEastAsia" w:hAnsiTheme="minorEastAsia" w:eastAsiaTheme="minorEastAsia" w:cstheme="minorEastAsia"/>
          <w:sz w:val="21"/>
          <w:szCs w:val="21"/>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Theme="minorEastAsia" w:hAnsiTheme="minorEastAsia" w:eastAsiaTheme="minorEastAsia" w:cstheme="minorEastAsia"/>
          <w:bCs/>
          <w:sz w:val="21"/>
          <w:szCs w:val="21"/>
        </w:rPr>
        <w:t>在置管成功率的比较中，我们看到：</w:t>
      </w:r>
      <w:r>
        <w:rPr>
          <w:rFonts w:hint="eastAsia" w:asciiTheme="minorEastAsia" w:hAnsiTheme="minorEastAsia" w:eastAsiaTheme="minorEastAsia" w:cstheme="minorEastAsia"/>
          <w:sz w:val="21"/>
          <w:szCs w:val="21"/>
        </w:rPr>
        <w:t>内引流组有4例置管失败，引流成功率为89.2%（33/37），外引流组有1例造瘘管脱出，1例引流不畅，引流成功率为93.8%（30/32），差异无统计学意义（P=0.503＞0.05）。</w:t>
      </w:r>
    </w:p>
    <w:p>
      <w:pPr>
        <w:spacing w:line="240" w:lineRule="auto"/>
        <w:ind w:firstLine="420" w:firstLineChars="200"/>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表2  两组患者置管成功率的比较</w:t>
      </w:r>
    </w:p>
    <w:tbl>
      <w:tblPr>
        <w:tblStyle w:val="7"/>
        <w:tblW w:w="673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3"/>
        <w:gridCol w:w="1735"/>
        <w:gridCol w:w="1736"/>
        <w:gridCol w:w="178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3"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组别</w:t>
            </w:r>
          </w:p>
        </w:tc>
        <w:tc>
          <w:tcPr>
            <w:tcW w:w="1735"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例数</w:t>
            </w:r>
          </w:p>
        </w:tc>
        <w:tc>
          <w:tcPr>
            <w:tcW w:w="1736"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成功</w:t>
            </w:r>
          </w:p>
        </w:tc>
        <w:tc>
          <w:tcPr>
            <w:tcW w:w="1782"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失败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3"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内引流组</w:t>
            </w:r>
          </w:p>
        </w:tc>
        <w:tc>
          <w:tcPr>
            <w:tcW w:w="1735"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37</w:t>
            </w:r>
          </w:p>
        </w:tc>
        <w:tc>
          <w:tcPr>
            <w:tcW w:w="1736"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33（89.2%）</w:t>
            </w:r>
          </w:p>
        </w:tc>
        <w:tc>
          <w:tcPr>
            <w:tcW w:w="1782"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3"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外引流组</w:t>
            </w:r>
          </w:p>
        </w:tc>
        <w:tc>
          <w:tcPr>
            <w:tcW w:w="1735"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32</w:t>
            </w:r>
          </w:p>
        </w:tc>
        <w:tc>
          <w:tcPr>
            <w:tcW w:w="1736"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30（93.8%）</w:t>
            </w:r>
          </w:p>
        </w:tc>
        <w:tc>
          <w:tcPr>
            <w:tcW w:w="1782"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2（6.2%）</w:t>
            </w:r>
          </w:p>
        </w:tc>
      </w:tr>
    </w:tbl>
    <w:p>
      <w:pPr>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b/>
          <w:sz w:val="21"/>
          <w:szCs w:val="21"/>
        </w:rPr>
        <w:sectPr>
          <w:type w:val="continuous"/>
          <w:pgSz w:w="11906" w:h="16838"/>
          <w:pgMar w:top="1440" w:right="1800" w:bottom="1440" w:left="1800" w:header="851" w:footer="992" w:gutter="0"/>
          <w:cols w:space="425" w:num="1"/>
          <w:docGrid w:type="lines" w:linePitch="312" w:charSpace="0"/>
        </w:sect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2.3 两组患者术后恢复时间的比较</w:t>
      </w:r>
    </w:p>
    <w:p>
      <w:pPr>
        <w:spacing w:line="240" w:lineRule="auto"/>
        <w:ind w:firstLine="420" w:firstLineChars="200"/>
        <w:rPr>
          <w:rFonts w:hint="eastAsia" w:asciiTheme="minorEastAsia" w:hAnsiTheme="minorEastAsia" w:eastAsiaTheme="minorEastAsia" w:cstheme="minorEastAsia"/>
          <w:sz w:val="21"/>
          <w:szCs w:val="21"/>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Theme="minorEastAsia" w:hAnsiTheme="minorEastAsia" w:eastAsiaTheme="minorEastAsia" w:cstheme="minorEastAsia"/>
          <w:sz w:val="21"/>
          <w:szCs w:val="21"/>
        </w:rPr>
        <w:t>在术后恢复时间比较中，两组大致相同，无统计学差异（P=0.927＞0.05）</w:t>
      </w:r>
    </w:p>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表3  两组患者术后恢复时间的比较</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1"/>
        <w:gridCol w:w="2130"/>
        <w:gridCol w:w="2131"/>
        <w:gridCol w:w="21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2130"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内引流组</w:t>
            </w:r>
          </w:p>
        </w:tc>
        <w:tc>
          <w:tcPr>
            <w:tcW w:w="213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外引流组</w:t>
            </w:r>
          </w:p>
        </w:tc>
        <w:tc>
          <w:tcPr>
            <w:tcW w:w="2188"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P值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1"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术后恢复时间</w:t>
            </w:r>
            <w:r>
              <w:rPr>
                <w:rFonts w:hint="eastAsia" w:asciiTheme="minorEastAsia" w:hAnsiTheme="minorEastAsia" w:eastAsiaTheme="minorEastAsia" w:cstheme="minorEastAsia"/>
                <w:b w:val="0"/>
                <w:bCs/>
                <w:sz w:val="21"/>
                <w:szCs w:val="21"/>
                <w:vertAlign w:val="superscript"/>
              </w:rPr>
              <w:t>*</w:t>
            </w:r>
          </w:p>
        </w:tc>
        <w:tc>
          <w:tcPr>
            <w:tcW w:w="2130"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5（2.5，7）</w:t>
            </w:r>
          </w:p>
        </w:tc>
        <w:tc>
          <w:tcPr>
            <w:tcW w:w="2131"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5（3，6）</w:t>
            </w:r>
          </w:p>
        </w:tc>
        <w:tc>
          <w:tcPr>
            <w:tcW w:w="2188"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P=0.927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0" w:type="dxa"/>
            <w:gridSpan w:val="4"/>
            <w:vAlign w:val="center"/>
          </w:tcPr>
          <w:p>
            <w:pPr>
              <w:spacing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vertAlign w:val="superscript"/>
              </w:rPr>
              <w:t>*</w:t>
            </w:r>
            <w:r>
              <w:rPr>
                <w:rFonts w:hint="eastAsia" w:asciiTheme="minorEastAsia" w:hAnsiTheme="minorEastAsia" w:eastAsiaTheme="minorEastAsia" w:cstheme="minorEastAsia"/>
                <w:b w:val="0"/>
                <w:bCs/>
                <w:sz w:val="21"/>
                <w:szCs w:val="21"/>
              </w:rPr>
              <w:t>术后恢复时间的定义：术后体温正常，血白细胞及中性粒正常。</w:t>
            </w:r>
          </w:p>
        </w:tc>
      </w:tr>
    </w:tbl>
    <w:p>
      <w:pPr>
        <w:spacing w:line="240" w:lineRule="auto"/>
        <w:rPr>
          <w:rFonts w:hint="eastAsia" w:asciiTheme="minorEastAsia" w:hAnsiTheme="minorEastAsia" w:eastAsiaTheme="minorEastAsia" w:cstheme="minorEastAsia"/>
          <w:sz w:val="21"/>
          <w:szCs w:val="21"/>
        </w:rPr>
      </w:pPr>
    </w:p>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表4  两组患者并发症发生情况</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1871"/>
        <w:gridCol w:w="2268"/>
        <w:gridCol w:w="18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Clavien-Dindo分级</w:t>
            </w:r>
          </w:p>
        </w:tc>
        <w:tc>
          <w:tcPr>
            <w:tcW w:w="187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内引流组</w:t>
            </w:r>
          </w:p>
        </w:tc>
        <w:tc>
          <w:tcPr>
            <w:tcW w:w="2268"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Clavien-Dindo分级</w:t>
            </w:r>
          </w:p>
        </w:tc>
        <w:tc>
          <w:tcPr>
            <w:tcW w:w="1871"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外引流组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Ⅰ级</w:t>
            </w:r>
          </w:p>
        </w:tc>
        <w:tc>
          <w:tcPr>
            <w:tcW w:w="1871"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8（21.6%）</w:t>
            </w:r>
          </w:p>
        </w:tc>
        <w:tc>
          <w:tcPr>
            <w:tcW w:w="2268"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Ⅰ级</w:t>
            </w:r>
          </w:p>
        </w:tc>
        <w:tc>
          <w:tcPr>
            <w:tcW w:w="1871" w:type="dxa"/>
            <w:tcBorders>
              <w:top w:val="single" w:color="auto" w:sz="4" w:space="0"/>
            </w:tcBorders>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11（34.4%）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疼痛</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4（10.8%）</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使用镇痛药物</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短暂血尿</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4（10.8%）</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血肌酐及转氨酶中度升高</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输尿管黏膜损伤</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少量胸腔积液</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Ⅱ级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2（5.4%）</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Ⅱ级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持续血尿</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1（2.7%）</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出血需要停止手术或输血</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肾包膜下血肿</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1（2.7%）</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肾周积液或积脓</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3（9.4%）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下肢深静脉血栓形成</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肺部感染</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Ⅲa级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4（10.8%）</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Ⅲa级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双J管移位</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4（10.8%）</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出血需栓塞</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输尿管穿孔</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气胸或大量胸腔积液需穿刺引流</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腹腔积液需引流</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Ⅲb级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Ⅲb级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输尿管撕脱</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血凝块堵塞肾盂需手术干预</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输尿管断裂</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集合系统损伤需引流</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造瘘管脱出</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Ⅳa级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Ⅳa级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大出血致低血容量性休克</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心肺功能不全需监护</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肾切除</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Ⅳb级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5（13.5%）</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Ⅳb级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感染性休克</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 （10.8%）</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尿源性脓毒血症休克</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多器官功能衰竭</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1（2.7%）</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Ⅴ级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1（2.7%）</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Ⅴ级</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死亡</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1（2.7%）</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死亡</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并发症发生率</w:t>
            </w:r>
            <w:r>
              <w:rPr>
                <w:rFonts w:hint="eastAsia" w:asciiTheme="minorEastAsia" w:hAnsiTheme="minorEastAsia" w:eastAsiaTheme="minorEastAsia" w:cstheme="minorEastAsia"/>
                <w:b w:val="0"/>
                <w:bCs/>
                <w:sz w:val="21"/>
                <w:szCs w:val="21"/>
                <w:vertAlign w:val="superscript"/>
              </w:rPr>
              <w:t>#</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20（54.1%）</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并发症发生率</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18（56.3%）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严重并发症发生率</w:t>
            </w:r>
            <w:r>
              <w:rPr>
                <w:rFonts w:hint="eastAsia" w:asciiTheme="minorEastAsia" w:hAnsiTheme="minorEastAsia" w:eastAsiaTheme="minorEastAsia" w:cstheme="minorEastAsia"/>
                <w:b w:val="0"/>
                <w:bCs/>
                <w:sz w:val="21"/>
                <w:szCs w:val="21"/>
                <w:vertAlign w:val="superscript"/>
              </w:rPr>
              <w:t>&amp;</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10（50%）</w:t>
            </w:r>
          </w:p>
        </w:tc>
        <w:tc>
          <w:tcPr>
            <w:tcW w:w="2268"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严重并发症发生率</w:t>
            </w:r>
          </w:p>
        </w:tc>
        <w:tc>
          <w:tcPr>
            <w:tcW w:w="1871" w:type="dxa"/>
            <w:vAlign w:val="center"/>
          </w:tcPr>
          <w:p>
            <w:pPr>
              <w:spacing w:line="24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3（16.7%）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78" w:type="dxa"/>
            <w:gridSpan w:val="4"/>
            <w:vAlign w:val="center"/>
          </w:tcPr>
          <w:p>
            <w:pPr>
              <w:spacing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vertAlign w:val="superscript"/>
              </w:rPr>
              <w:t>#</w:t>
            </w:r>
            <w:r>
              <w:rPr>
                <w:rFonts w:hint="eastAsia" w:asciiTheme="minorEastAsia" w:hAnsiTheme="minorEastAsia" w:eastAsiaTheme="minorEastAsia" w:cstheme="minorEastAsia"/>
                <w:b w:val="0"/>
                <w:bCs/>
                <w:sz w:val="21"/>
                <w:szCs w:val="21"/>
              </w:rPr>
              <w:t>并发症发生率：P=0.855＞0.05，差异无统计学意义；</w:t>
            </w:r>
          </w:p>
          <w:p>
            <w:pPr>
              <w:spacing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vertAlign w:val="superscript"/>
              </w:rPr>
              <w:t>&amp;</w:t>
            </w:r>
            <w:r>
              <w:rPr>
                <w:rFonts w:hint="eastAsia" w:asciiTheme="minorEastAsia" w:hAnsiTheme="minorEastAsia" w:eastAsiaTheme="minorEastAsia" w:cstheme="minorEastAsia"/>
                <w:b w:val="0"/>
                <w:bCs/>
                <w:sz w:val="21"/>
                <w:szCs w:val="21"/>
              </w:rPr>
              <w:t>严重并发症（III级、IV级及V级）发生率：P=0.031＜0.05，差异有统计学意义。</w:t>
            </w:r>
          </w:p>
        </w:tc>
      </w:tr>
    </w:tbl>
    <w:p>
      <w:pPr>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b/>
          <w:sz w:val="21"/>
          <w:szCs w:val="21"/>
        </w:rPr>
        <w:sectPr>
          <w:type w:val="continuous"/>
          <w:pgSz w:w="11906" w:h="16838"/>
          <w:pgMar w:top="1440" w:right="1800" w:bottom="1440" w:left="1800" w:header="851" w:footer="992" w:gutter="0"/>
          <w:cols w:space="425" w:num="1"/>
          <w:docGrid w:type="lines" w:linePitch="312" w:charSpace="0"/>
        </w:sect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2.4 两组患者并发症发生情况的对比 </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通过Claivien-Dindo分级系统对两组并发症发生情况进行分级，内引流组的并发症发生率为54.1%，外引流组为56.3%，差异无统计学意义（P＞0.05）。</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进一步将并发症根据严重程度分为轻度（Ⅰ级及Ⅱ级）和严重（Ⅲ级、Ⅳ级及V级），发现内引流组发生严重并发症共6例，其中感染性休克4例，心脏骤停1例，因感染死亡1例，外引流组为3例，其中</w:t>
      </w:r>
      <w:r>
        <w:rPr>
          <w:rFonts w:hint="eastAsia" w:asciiTheme="minorEastAsia" w:hAnsiTheme="minorEastAsia" w:eastAsiaTheme="minorEastAsia" w:cstheme="minorEastAsia"/>
          <w:bCs/>
          <w:sz w:val="21"/>
          <w:szCs w:val="21"/>
        </w:rPr>
        <w:t>造瘘管脱出1例，</w:t>
      </w:r>
      <w:r>
        <w:rPr>
          <w:rFonts w:hint="eastAsia" w:asciiTheme="minorEastAsia" w:hAnsiTheme="minorEastAsia" w:eastAsiaTheme="minorEastAsia" w:cstheme="minorEastAsia"/>
          <w:sz w:val="21"/>
          <w:szCs w:val="21"/>
        </w:rPr>
        <w:t>心肺功能不全1例，感染性休克1例；内引流组严重并发症发生率（50%）明显高于外引流组（16.7%），差异有统计学意义（P＜0.05）。</w:t>
      </w:r>
    </w:p>
    <w:p>
      <w:pPr>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w:t>
      </w:r>
      <w:r>
        <w:rPr>
          <w:rFonts w:hint="eastAsia" w:asciiTheme="minorEastAsia" w:hAnsiTheme="minorEastAsia" w:cstheme="minorEastAsia"/>
          <w:b/>
          <w:sz w:val="21"/>
          <w:szCs w:val="21"/>
          <w:lang w:val="en-US" w:eastAsia="zh-CN"/>
        </w:rPr>
        <w:t>5</w:t>
      </w:r>
      <w:r>
        <w:rPr>
          <w:rFonts w:hint="eastAsia" w:asciiTheme="minorEastAsia" w:hAnsiTheme="minorEastAsia" w:eastAsiaTheme="minorEastAsia" w:cstheme="minorEastAsia"/>
          <w:b/>
          <w:sz w:val="21"/>
          <w:szCs w:val="21"/>
        </w:rPr>
        <w:t xml:space="preserve"> 术后恢复时间的相关性分析 </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采用线性回归分析法对术后恢复时间与年龄、术前最高体温、术前白细胞及术前PCT进行分析发现，术后恢复时间与年龄、术前最高体温、术前白细胞及术前PCT无相关性（P</w:t>
      </w:r>
      <w:r>
        <w:rPr>
          <w:rFonts w:hint="eastAsia" w:asciiTheme="minorEastAsia" w:hAnsiTheme="minorEastAsia" w:eastAsiaTheme="minorEastAsia" w:cstheme="minorEastAsia"/>
          <w:bCs/>
          <w:sz w:val="21"/>
          <w:szCs w:val="21"/>
        </w:rPr>
        <w:t>＞0.05</w:t>
      </w:r>
      <w:r>
        <w:rPr>
          <w:rFonts w:hint="eastAsia" w:asciiTheme="minorEastAsia" w:hAnsiTheme="minorEastAsia" w:eastAsiaTheme="minorEastAsia" w:cstheme="minorEastAsia"/>
          <w:sz w:val="21"/>
          <w:szCs w:val="21"/>
        </w:rPr>
        <w:t>）。采用Logistic回归分析法对术后恢复时间与性别及糖尿病进行分析发现，术后恢复时间与性别及糖尿病无相关性（P</w:t>
      </w:r>
      <w:r>
        <w:rPr>
          <w:rFonts w:hint="eastAsia" w:asciiTheme="minorEastAsia" w:hAnsiTheme="minorEastAsia" w:eastAsiaTheme="minorEastAsia" w:cstheme="minorEastAsia"/>
          <w:bCs/>
          <w:sz w:val="21"/>
          <w:szCs w:val="21"/>
        </w:rPr>
        <w:t>＞0.05</w:t>
      </w:r>
      <w:r>
        <w:rPr>
          <w:rFonts w:hint="eastAsia" w:asciiTheme="minorEastAsia" w:hAnsiTheme="minorEastAsia" w:eastAsiaTheme="minorEastAsia" w:cstheme="minorEastAsia"/>
          <w:sz w:val="21"/>
          <w:szCs w:val="21"/>
        </w:rPr>
        <w:t>）。我们分析产生的原因可能与数据样本量少或者治疗期间使用胰岛素严格控制血糖有关。</w:t>
      </w:r>
    </w:p>
    <w:p>
      <w:pPr>
        <w:spacing w:line="240" w:lineRule="auto"/>
        <w:ind w:firstLine="420" w:firstLineChars="200"/>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  结论</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尿脓毒血症是由尿路感染引起的脓毒血症，临床特征的表现是全身炎症反应、器官功能障碍、组织缺氧及持续性低血压。尿脓毒血症进展迅速，数据显示住院患者的尿脓毒血症死亡率高达17.9%~27.8%</w:t>
      </w:r>
      <w:r>
        <w:rPr>
          <w:rFonts w:hint="eastAsia" w:asciiTheme="minorEastAsia" w:hAnsiTheme="minorEastAsia" w:eastAsiaTheme="minorEastAsia" w:cstheme="minorEastAsia"/>
          <w:sz w:val="21"/>
          <w:szCs w:val="21"/>
          <w:vertAlign w:val="superscript"/>
        </w:rPr>
        <w:t>[11]</w:t>
      </w:r>
      <w:r>
        <w:rPr>
          <w:rFonts w:hint="eastAsia" w:asciiTheme="minorEastAsia" w:hAnsiTheme="minorEastAsia" w:eastAsiaTheme="minorEastAsia" w:cstheme="minorEastAsia"/>
          <w:sz w:val="21"/>
          <w:szCs w:val="21"/>
        </w:rPr>
        <w:t>。尿源性脓毒血症易感因素包括：老年、糖尿病、免疫抑制剂使用、接受激素治疗以及恶性肿瘤接受化疗</w:t>
      </w:r>
      <w:r>
        <w:rPr>
          <w:rFonts w:hint="eastAsia" w:asciiTheme="minorEastAsia" w:hAnsiTheme="minorEastAsia" w:eastAsiaTheme="minorEastAsia" w:cstheme="minorEastAsia"/>
          <w:sz w:val="21"/>
          <w:szCs w:val="21"/>
          <w:vertAlign w:val="superscript"/>
        </w:rPr>
        <w:t>[12]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特别是糖尿病患者较非糖尿病患者</w:t>
      </w:r>
      <w:r>
        <w:rPr>
          <w:rFonts w:hint="eastAsia" w:asciiTheme="minorEastAsia" w:hAnsiTheme="minorEastAsia" w:eastAsiaTheme="minorEastAsia" w:cstheme="minorEastAsia"/>
          <w:sz w:val="21"/>
          <w:szCs w:val="21"/>
        </w:rPr>
        <w:t>尿脓毒血症发生率更高，</w:t>
      </w:r>
      <w:r>
        <w:rPr>
          <w:rFonts w:hint="eastAsia" w:asciiTheme="minorEastAsia" w:hAnsiTheme="minorEastAsia" w:eastAsiaTheme="minorEastAsia" w:cstheme="minorEastAsia"/>
          <w:color w:val="000000" w:themeColor="text1"/>
          <w:sz w:val="21"/>
          <w:szCs w:val="21"/>
          <w14:textFill>
            <w14:solidFill>
              <w14:schemeClr w14:val="tx1"/>
            </w14:solidFill>
          </w14:textFill>
        </w:rPr>
        <w:t>更易出现败血症、肾乳头坏死、肾周围脓肿等并发症。本研究中糖尿病病人脓肾占比较高，对于糖尿病患者，应严格控制血糖，及时处理，以免引起严重并发症。</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尿脓毒血症是泌尿外科疾病中常见的急危重症，需引起高度重视，尿源性脓毒血症会导致肾盂内压增高，细菌及其代谢产物入血刺激机体免疫系统产生诸多细胞因子，进而激发一系列炎症反应甚至造成器官功能损害</w:t>
      </w:r>
      <w:r>
        <w:rPr>
          <w:rFonts w:hint="eastAsia" w:asciiTheme="minorEastAsia" w:hAnsiTheme="minorEastAsia" w:eastAsiaTheme="minorEastAsia" w:cstheme="minorEastAsia"/>
          <w:sz w:val="21"/>
          <w:szCs w:val="21"/>
          <w:vertAlign w:val="superscript"/>
        </w:rPr>
        <w:t>[13]</w:t>
      </w:r>
      <w:r>
        <w:rPr>
          <w:rFonts w:hint="eastAsia" w:asciiTheme="minorEastAsia" w:hAnsiTheme="minorEastAsia" w:eastAsiaTheme="minorEastAsia" w:cstheme="minorEastAsia"/>
          <w:sz w:val="21"/>
          <w:szCs w:val="21"/>
        </w:rPr>
        <w:t>。因此，治疗尿源性脓毒血症的基础是降低肾盂内压</w:t>
      </w:r>
      <w:r>
        <w:rPr>
          <w:rFonts w:hint="eastAsia" w:asciiTheme="minorEastAsia" w:hAnsiTheme="minorEastAsia" w:eastAsiaTheme="minorEastAsia" w:cstheme="minorEastAsia"/>
          <w:sz w:val="21"/>
          <w:szCs w:val="21"/>
          <w:vertAlign w:val="superscript"/>
        </w:rPr>
        <w:t>[14]</w:t>
      </w:r>
      <w:r>
        <w:rPr>
          <w:rFonts w:hint="eastAsia" w:asciiTheme="minorEastAsia" w:hAnsiTheme="minorEastAsia" w:eastAsiaTheme="minorEastAsia" w:cstheme="minorEastAsia"/>
          <w:sz w:val="21"/>
          <w:szCs w:val="21"/>
        </w:rPr>
        <w:t>。降低肾盂内压的引流方式可以选择输尿管支架管置入术或经皮肾穿刺造瘘术。既往的研究结果显示，两种引流方式均能有效地降低肾盂内压，控制脓毒血症</w:t>
      </w:r>
      <w:r>
        <w:rPr>
          <w:rFonts w:hint="eastAsia" w:asciiTheme="minorEastAsia" w:hAnsiTheme="minorEastAsia" w:eastAsiaTheme="minorEastAsia" w:cstheme="minorEastAsia"/>
          <w:sz w:val="21"/>
          <w:szCs w:val="21"/>
          <w:vertAlign w:val="superscript"/>
        </w:rPr>
        <w:t>[15]</w:t>
      </w:r>
      <w:r>
        <w:rPr>
          <w:rFonts w:hint="eastAsia" w:asciiTheme="minorEastAsia" w:hAnsiTheme="minorEastAsia" w:eastAsiaTheme="minorEastAsia" w:cstheme="minorEastAsia"/>
          <w:sz w:val="21"/>
          <w:szCs w:val="21"/>
        </w:rPr>
        <w:t xml:space="preserve"> 。本研究结果显示：两种引流方式在术后感染指标的改变、置管成功率、术后恢复时间上均无明显差异，与既往的研究结果基本吻合。在临床的应用中，</w:t>
      </w:r>
      <w:r>
        <w:rPr>
          <w:rFonts w:hint="eastAsia" w:asciiTheme="minorEastAsia" w:hAnsiTheme="minorEastAsia" w:eastAsiaTheme="minorEastAsia" w:cstheme="minorEastAsia"/>
          <w:color w:val="000000" w:themeColor="text1"/>
          <w:sz w:val="21"/>
          <w:szCs w:val="21"/>
          <w14:textFill>
            <w14:solidFill>
              <w14:schemeClr w14:val="tx1"/>
            </w14:solidFill>
          </w14:textFill>
        </w:rPr>
        <w:t>输尿管支架管置入术优点在于：①经自然腔道置管，减少了肾脏出血风险；②术中全麻下行输尿管镜检查，更确切地留置支架；缺点在于：①不利于观察引流的通畅性；②输尿管镜下辅助置管，肾盂内压会一过性增高，感染加重的风险增大。而经皮肾穿刺造瘘术的优势包括：①可在超声引导下在床旁采用局麻完成，避免了全麻、器械腔内操作造成的损伤，以及因体位变换引起的患者血流动力学变化；②便于观察肾盂引流的通畅性；③利于二期输尿管镜碎石；缺点是可能会增加患者的不适感，以及因肾造瘘出血风险，可能增加感染恶化的概率。</w:t>
      </w:r>
      <w:r>
        <w:rPr>
          <w:rFonts w:hint="eastAsia" w:asciiTheme="minorEastAsia" w:hAnsiTheme="minorEastAsia" w:eastAsiaTheme="minorEastAsia" w:cstheme="minorEastAsia"/>
          <w:sz w:val="21"/>
          <w:szCs w:val="21"/>
        </w:rPr>
        <w:t>可见二者在临床应用中都或多或少存在各自的优缺点，进一步对于大家较为关心的并发症发生率的比较中，可以看到：经尿道输尿管支架置入术和经皮肾穿刺引流虽然总体并发症发生率无明显统计学差异，但是内引流组（经尿道输尿管支架置入术）发生严重并发症的比率是明显高于外引流组（</w:t>
      </w:r>
      <w:r>
        <w:rPr>
          <w:rFonts w:hint="eastAsia" w:asciiTheme="minorEastAsia" w:hAnsiTheme="minorEastAsia" w:eastAsiaTheme="minorEastAsia" w:cstheme="minorEastAsia"/>
          <w:color w:val="000000" w:themeColor="text1"/>
          <w:sz w:val="21"/>
          <w:szCs w:val="21"/>
          <w14:textFill>
            <w14:solidFill>
              <w14:schemeClr w14:val="tx1"/>
            </w14:solidFill>
          </w14:textFill>
        </w:rPr>
        <w:t>经皮肾穿刺造瘘术</w:t>
      </w:r>
      <w:r>
        <w:rPr>
          <w:rFonts w:hint="eastAsia" w:asciiTheme="minorEastAsia" w:hAnsiTheme="minorEastAsia" w:eastAsiaTheme="minorEastAsia" w:cstheme="minorEastAsia"/>
          <w:sz w:val="21"/>
          <w:szCs w:val="21"/>
        </w:rPr>
        <w:t>），随访中出现了1例因感染性休克死亡。分析原因可能是肾盂内高压导致肾脏周围渗出较多，超声下难以确认导丝是否进入肾盂，操作中反复尝试插入导丝，易造成局部黏膜损伤甚至发生肾盂及输尿管穿孔，引起感染性尿液入血。</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上所述，对于尿源性脓毒血症合并梗阻的患者应根据实际情况进行综合考虑，包括医生水平、患者肾盏积水程度以及患者耐受性，选择合理的肾盂减压方式。我们认为，对于感染较轻，积水较少的患者，临床工作中会更倾向经尿道输尿管支架置入术。今后随着医疗技术的发展，本研究结果倾向于支持经皮肾镜穿刺引流作为脓毒血症治疗的首选方法。目前因数据量较少，需要更进一步临床研究确保这一结论的稳固性，并为临床工作提供更具意义的指导。</w:t>
      </w:r>
    </w:p>
    <w:p>
      <w:pPr>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参考文献</w:t>
      </w:r>
    </w:p>
    <w:p>
      <w:pPr>
        <w:spacing w:line="240" w:lineRule="auto"/>
        <w:rPr>
          <w:rFonts w:hint="eastAsia" w:asciiTheme="minorEastAsia" w:hAnsiTheme="minorEastAsia" w:eastAsiaTheme="minorEastAsia" w:cstheme="minorEastAsia"/>
          <w:b/>
          <w:sz w:val="21"/>
          <w:szCs w:val="21"/>
        </w:rPr>
      </w:pPr>
    </w:p>
    <w:p>
      <w:pPr>
        <w:numPr>
          <w:ilvl w:val="0"/>
          <w:numId w:val="1"/>
        </w:numPr>
        <w:spacing w:line="240" w:lineRule="auto"/>
        <w:ind w:left="425" w:leftChars="0" w:hanging="425" w:firstLineChars="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董玉梅,靳桂明.糖尿病并发泌尿系统感染特点与治疗.医药导报,2016,35(6):555-558.</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江雪峰,陈弋生,陶凌松.输尿管结石梗阻合并糖尿病引发肾积脓18例临床分析.临床外科杂志,2020,28(1):97-98.</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Hiroaki Kakinoki,</w:t>
      </w:r>
      <w:r>
        <w:rPr>
          <w:rFonts w:hint="eastAsia" w:asciiTheme="minorEastAsia" w:hAnsiTheme="minorEastAsia" w:eastAsiaTheme="minorEastAsia" w:cstheme="minorEastAsia"/>
          <w:spacing w:val="-20"/>
          <w:sz w:val="21"/>
          <w:szCs w:val="21"/>
          <w:lang w:val="en-US" w:eastAsia="zh-CN"/>
        </w:rPr>
        <w:t xml:space="preserve"> </w:t>
      </w:r>
      <w:r>
        <w:rPr>
          <w:rFonts w:hint="eastAsia" w:asciiTheme="minorEastAsia" w:hAnsiTheme="minorEastAsia" w:eastAsiaTheme="minorEastAsia" w:cstheme="minorEastAsia"/>
          <w:spacing w:val="-20"/>
          <w:sz w:val="21"/>
          <w:szCs w:val="21"/>
        </w:rPr>
        <w:t>Shohei Tobu,</w:t>
      </w:r>
      <w:r>
        <w:rPr>
          <w:rFonts w:hint="eastAsia" w:asciiTheme="minorEastAsia" w:hAnsiTheme="minorEastAsia" w:eastAsiaTheme="minorEastAsia" w:cstheme="minorEastAsia"/>
          <w:spacing w:val="-20"/>
          <w:sz w:val="21"/>
          <w:szCs w:val="21"/>
          <w:lang w:val="en-US" w:eastAsia="zh-CN"/>
        </w:rPr>
        <w:t xml:space="preserve"> </w:t>
      </w:r>
      <w:r>
        <w:rPr>
          <w:rFonts w:hint="eastAsia" w:asciiTheme="minorEastAsia" w:hAnsiTheme="minorEastAsia" w:eastAsiaTheme="minorEastAsia" w:cstheme="minorEastAsia"/>
          <w:spacing w:val="-20"/>
          <w:sz w:val="21"/>
          <w:szCs w:val="21"/>
        </w:rPr>
        <w:t>Yuka Kakinoki,</w:t>
      </w:r>
      <w:r>
        <w:rPr>
          <w:rFonts w:hint="eastAsia" w:asciiTheme="minorEastAsia" w:hAnsiTheme="minorEastAsia" w:eastAsiaTheme="minorEastAsia" w:cstheme="minorEastAsia"/>
          <w:spacing w:val="-20"/>
          <w:sz w:val="21"/>
          <w:szCs w:val="21"/>
          <w:lang w:val="en-US" w:eastAsia="zh-CN"/>
        </w:rPr>
        <w:t xml:space="preserve"> </w:t>
      </w:r>
      <w:r>
        <w:rPr>
          <w:rFonts w:hint="eastAsia" w:asciiTheme="minorEastAsia" w:hAnsiTheme="minorEastAsia" w:eastAsiaTheme="minorEastAsia" w:cstheme="minorEastAsia"/>
          <w:spacing w:val="-20"/>
          <w:sz w:val="21"/>
          <w:szCs w:val="21"/>
        </w:rPr>
        <w:t>et al.Risk Factors for Uroseptic Shock in Patients with Urolithiasis-Related Acute Pyelonephritis.</w:t>
      </w:r>
      <w:r>
        <w:rPr>
          <w:rFonts w:hint="eastAsia" w:asciiTheme="minorEastAsia" w:hAnsiTheme="minorEastAsia" w:eastAsiaTheme="minorEastAsia" w:cstheme="minorEastAsia"/>
          <w:spacing w:val="-20"/>
          <w:sz w:val="21"/>
          <w:szCs w:val="21"/>
          <w:lang w:val="en-US" w:eastAsia="zh-CN"/>
        </w:rPr>
        <w:t xml:space="preserve"> </w:t>
      </w:r>
      <w:r>
        <w:rPr>
          <w:rFonts w:hint="eastAsia" w:asciiTheme="minorEastAsia" w:hAnsiTheme="minorEastAsia" w:eastAsiaTheme="minorEastAsia" w:cstheme="minorEastAsia"/>
          <w:spacing w:val="-20"/>
          <w:sz w:val="21"/>
          <w:szCs w:val="21"/>
        </w:rPr>
        <w:t>UROLOGIA INTERNATIONALIS, 2018, 100(1):37-42.</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钟功荣,吴检发,徐开鑫.结石性脓肾采用微创腔镜技术治疗的临床体会</w:t>
      </w:r>
      <w:r>
        <w:rPr>
          <w:rFonts w:hint="eastAsia" w:asciiTheme="minorEastAsia" w:hAnsiTheme="minorEastAsia" w:eastAsiaTheme="minorEastAsia" w:cstheme="minorEastAsia"/>
          <w:spacing w:val="0"/>
          <w:sz w:val="21"/>
          <w:szCs w:val="21"/>
          <w:lang w:val="en-US" w:eastAsia="zh-CN"/>
        </w:rPr>
        <w:t xml:space="preserve"> </w:t>
      </w:r>
      <w:r>
        <w:rPr>
          <w:rFonts w:hint="eastAsia" w:asciiTheme="minorEastAsia" w:hAnsiTheme="minorEastAsia" w:eastAsiaTheme="minorEastAsia" w:cstheme="minorEastAsia"/>
          <w:spacing w:val="0"/>
          <w:sz w:val="21"/>
          <w:szCs w:val="21"/>
        </w:rPr>
        <w:t>.当代医学,2019,25(11):76-77.</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Dellinger RP, Levy MM, Rhodes A,et al. Surviving Sepsis Campaign Guidelines Committee including The Pediatric Subgroup. Surviving Sepsis Campaign: international guidelines for management of severe sepsis and septic shock, 2012. INTENSIVE CARE MEDICINE, 2013, 39(2):165-228.</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齐士勇,王琦,王兴羽,等.两种肾盂减压方式治疗上尿路结石合并尿源性脓毒血症的效果比较.中华泌尿外科杂志,2020,41(4):256-261.</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Hsiao CY, Chen TH, Lee YC, ,et al. Urolithiasis Is a Risk Factor for Uroseptic Shock and Acute Kidney Injury in Patients With Urinary Tract Infection. Frontiers IN MEDICINE, 2019,6:288.</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 xml:space="preserve">唐伟. 2017年欧洲泌尿外科学会尿脓毒血症诊疗指南解读. 重庆医科大学学报,2018,43(4):480-481. </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单保华,尤祥云,喻俊峰.输尿管镜钬激光碎石术后早期并发症的Clavien-Dindo分级及影响因素分析.中国现代医学杂志,2022,32(3):74-80.</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color w:val="auto"/>
          <w:spacing w:val="0"/>
          <w:sz w:val="21"/>
          <w:szCs w:val="21"/>
          <w:shd w:val="clear" w:color="auto" w:fill="auto"/>
        </w:rPr>
        <w:t>曾凯,王勤章,李应龙.Clavien-Dindo分级系统在微创经皮肾镜取石术并发症评价中的应用研究.中国现代医学杂志,2016,26(07):96-100.</w:t>
      </w:r>
      <w:r>
        <w:rPr>
          <w:rFonts w:hint="eastAsia" w:asciiTheme="minorEastAsia" w:hAnsiTheme="minorEastAsia" w:eastAsiaTheme="minorEastAsia" w:cstheme="minorEastAsia"/>
          <w:spacing w:val="-20"/>
          <w:sz w:val="21"/>
          <w:szCs w:val="21"/>
        </w:rPr>
        <w:t xml:space="preserve"> </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Wagenlehner FM, Tandogdu Z, Bjerklund Johansen TE. An update on classification and management of urosepsis. CURRENT OPINION IN UROLOGY, 2017, 27(2):133-137</w:t>
      </w:r>
      <w:r>
        <w:rPr>
          <w:rFonts w:hint="eastAsia" w:asciiTheme="minorEastAsia" w:hAnsiTheme="minorEastAsia" w:eastAsiaTheme="minorEastAsia" w:cstheme="minorEastAsia"/>
          <w:spacing w:val="-20"/>
          <w:sz w:val="21"/>
          <w:szCs w:val="21"/>
          <w:lang w:val="en-US" w:eastAsia="zh-CN"/>
        </w:rPr>
        <w:t>.</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Moss SR, Prescott HC. Current Controversies in Sepsis Management. SEMINARS IN RESPIRATORY AND CRITICAL CARE MEDICINE, 2019, 40(5):594-603.</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Hu M, Zhong X, Cui X, Xu X, et al.Development and validation of a risk-prediction nomogram for patients with ureteral calculi associated with urosepsis: A retrospective analysis. PLoS One, 2018, 13(8):e0201515.</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Zhu Z, Cui Y, Zeng F, et al.Comparison of suctioning and traditional ureteral access sheath during flexible ureteroscopy in the treatment of renal stones. WORLD JOURNAL OF UROLOGY, 2019, 37(5):921-929.</w:t>
      </w:r>
    </w:p>
    <w:p>
      <w:pPr>
        <w:numPr>
          <w:ilvl w:val="0"/>
          <w:numId w:val="1"/>
        </w:numPr>
        <w:spacing w:line="240" w:lineRule="auto"/>
        <w:ind w:left="425" w:leftChars="0" w:hanging="425" w:firstLineChars="0"/>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Ramsey S, Robertson A, Ablett MJ, et al.. Evidence-based drainage of infected hydronephrosis secondary to ureteric calculi.JOURNAL OF ENDOUROLOGY, 2010, 24(2):185-9.</w:t>
      </w:r>
    </w:p>
    <w:p>
      <w:pPr>
        <w:spacing w:line="240" w:lineRule="auto"/>
        <w:rPr>
          <w:rFonts w:hint="eastAsia" w:asciiTheme="minorEastAsia" w:hAnsiTheme="minorEastAsia" w:eastAsiaTheme="minorEastAsia" w:cstheme="minorEastAsia"/>
          <w:sz w:val="21"/>
          <w:szCs w:val="21"/>
        </w:rPr>
        <w:sectPr>
          <w:type w:val="continuous"/>
          <w:pgSz w:w="11906" w:h="16838"/>
          <w:pgMar w:top="1440" w:right="1800" w:bottom="1440" w:left="1800" w:header="851" w:footer="992" w:gutter="0"/>
          <w:cols w:equalWidth="0" w:num="2">
            <w:col w:w="3940" w:space="425"/>
            <w:col w:w="3940"/>
          </w:cols>
          <w:docGrid w:type="lines" w:linePitch="312" w:charSpace="0"/>
        </w:sectPr>
      </w:pPr>
    </w:p>
    <w:p>
      <w:pPr>
        <w:spacing w:line="240" w:lineRule="auto"/>
        <w:rPr>
          <w:rFonts w:hint="eastAsia" w:asciiTheme="minorEastAsia" w:hAnsiTheme="minorEastAsia" w:eastAsiaTheme="minorEastAsia" w:cstheme="minorEastAsia"/>
          <w:sz w:val="21"/>
          <w:szCs w:val="2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5140325</wp:posOffset>
              </wp:positionH>
              <wp:positionV relativeFrom="paragraph">
                <wp:posOffset>0</wp:posOffset>
              </wp:positionV>
              <wp:extent cx="13398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985" cy="1828800"/>
                      </a:xfrm>
                      <a:prstGeom prst="rect">
                        <a:avLst/>
                      </a:prstGeom>
                      <a:noFill/>
                      <a:ln w="9525">
                        <a:noFill/>
                      </a:ln>
                    </wps:spPr>
                    <wps:txbx>
                      <w:txbxContent>
                        <w:p>
                          <w:pPr>
                            <w:pStyle w:val="4"/>
                            <w:rPr>
                              <w:sz w:val="21"/>
                              <w:szCs w:val="21"/>
                            </w:rPr>
                          </w:pPr>
                          <w:r>
                            <w:fldChar w:fldCharType="begin"/>
                          </w:r>
                          <w:r>
                            <w:instrText xml:space="preserve"> PAGE  \* MERGEFORMAT </w:instrText>
                          </w:r>
                          <w:r>
                            <w:fldChar w:fldCharType="separate"/>
                          </w:r>
                          <w:r>
                            <w:t>1</w:t>
                          </w:r>
                          <w:r>
                            <w:fldChar w:fldCharType="end"/>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left:404.75pt;margin-top:0pt;height:144pt;width:10.55pt;mso-position-horizontal-relative:margin;z-index:251660288;mso-width-relative:page;mso-height-relative:page;" filled="f" stroked="f" coordsize="21600,21600" o:gfxdata="UEsDBAoAAAAAAIdO4kAAAAAAAAAAAAAAAAAEAAAAZHJzL1BLAwQUAAAACACHTuJAaNjpm9UAAAAI&#10;AQAADwAAAGRycy9kb3ducmV2LnhtbE2PMU/DMBSEdyT+g/WQWBC1HUTkpnE6IFjYKCxsbvxIotrP&#10;Uewmob8eM8F4utPdd/V+9Y7NOMUhkAa5EcCQ2mAH6jR8vL/cK2AxGbLGBUIN3xhh31xf1aayYaE3&#10;nA+pY7mEYmU09CmNFeex7dGbuAkjUva+wuRNynLquJ3Mksu944UQJfdmoLzQmxGfemxPh7PXUK7P&#10;493rFovl0rqZPi9SJpRa395IsQOWcE1/YfjFz+jQZKZjOJONzGlQYvuYoxryo2yrB1ECO2oolBLA&#10;m5r/P9D8AFBLAwQUAAAACACHTuJAqd+RW+wBAADIAwAADgAAAGRycy9lMm9Eb2MueG1srVNNjtMw&#10;FN4jcQfLe5o0o6JO1HQEVIOQECANHMB1nMaS//BzmpQDwA1YsWE/5+o5eHaSDho2s2CTPPv9fd/3&#10;njc3g1bkKDxIayq6XOSUCMNtLc2hol8+375YUwKBmZopa0RFTwLozfb5s03vSlHY1qpaeIJFDJS9&#10;q2gbgiuzDHgrNIOFdcKgs7Fes4BHf8hqz3qsrlVW5PnLrLe+dt5yAYC3u9FJp4r+KQVt00gudpZ3&#10;WpgwVvVCsYCUoJUO6DahbRrBw8emARGIqigyDemLTdDex2+23bDy4JlrJZ8gsKdAeMRJM2mw6aXU&#10;jgVGOi//KaUl9xZsExbc6mwkkhRBFsv8kTZ3LXMicUGpwV1Eh/9Xln84fvJE1hUtKDFM48DPP3+c&#10;f92ff38nRZSnd1Bi1J3DuDC8tgMuzXwPeBlZD43X8Y98CPpR3NNFXDEEwmPS1dX1ekUJR9dyXazX&#10;eVI/e8h2HsJbYTWJRkU9Di9pyo7vISASDJ1DYjNjb6VSaYDKkL6i16tilRIuHsxQBhMjhxFrtMKw&#10;HyZie1ufkBc+B2zYWv+Nkh6XoaLwtWNeUKLeGVQ7bs5s+NnYzwYzHFMrGigZzTdh3LDOeXlo085F&#10;wOBedQFBJy4RyNh9wocDThSnZYwb9Pc5RT08wO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Njp&#10;m9UAAAAIAQAADwAAAAAAAAABACAAAAAiAAAAZHJzL2Rvd25yZXYueG1sUEsBAhQAFAAAAAgAh07i&#10;QKnfkVvsAQAAyAMAAA4AAAAAAAAAAQAgAAAAJAEAAGRycy9lMm9Eb2MueG1sUEsFBgAAAAAGAAYA&#10;WQEAAIIFAAAAAA==&#10;">
              <v:fill on="f" focussize="0,0"/>
              <v:stroke on="f"/>
              <v:imagedata o:title=""/>
              <o:lock v:ext="edit" aspectratio="f"/>
              <v:textbox inset="0mm,0mm,0mm,0mm" style="mso-fit-shape-to-text:t;">
                <w:txbxContent>
                  <w:p>
                    <w:pPr>
                      <w:pStyle w:val="4"/>
                      <w:rPr>
                        <w:sz w:val="21"/>
                        <w:szCs w:val="21"/>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http://moaj.mospbs.com/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pPr>
    <w:r>
      <w:rPr>
        <w:sz w:val="18"/>
      </w:rPr>
      <w:pict>
        <v:shape id="PowerPlusWaterMarkObject13892" o:spid="_x0000_s4097" o:spt="136" type="#_x0000_t136" style="position:absolute;left:0pt;height:179.2pt;width:408pt;mso-position-horizontal:center;mso-position-horizontal-relative:margin;mso-position-vertical:center;mso-position-vertical-relative:margin;rotation:-2949120f;z-index:-251657216;mso-width-relative:page;mso-height-relative:page;" fillcolor="#D9D9D9" filled="t" stroked="f" coordsize="21600,21600" adj="10800">
          <v:path/>
          <v:fill on="t" opacity="32768f" focussize="0,0"/>
          <v:stroke on="f"/>
          <v:imagedata o:title=""/>
          <o:lock v:ext="edit" aspectratio="t"/>
          <v:textpath on="t" fitshape="t" fitpath="t" trim="t" xscale="f" string="MOSP" style="font-family:微软雅黑;font-size:36pt;v-same-letter-heights:f;v-text-align:center;"/>
        </v:shape>
      </w:pict>
    </w:r>
    <w:r>
      <w:rPr>
        <w:rFonts w:hint="eastAsia" w:eastAsia="宋体"/>
        <w:lang w:eastAsia="zh-CN"/>
      </w:rPr>
      <w:drawing>
        <wp:inline distT="0" distB="0" distL="114300" distR="114300">
          <wp:extent cx="925195" cy="314960"/>
          <wp:effectExtent l="0" t="0" r="8255" b="8890"/>
          <wp:docPr id="1" name="图片 1"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4)"/>
                  <pic:cNvPicPr>
                    <a:picLocks noChangeAspect="1"/>
                  </pic:cNvPicPr>
                </pic:nvPicPr>
                <pic:blipFill>
                  <a:blip r:embed="rId1"/>
                  <a:stretch>
                    <a:fillRect/>
                  </a:stretch>
                </pic:blipFill>
                <pic:spPr>
                  <a:xfrm>
                    <a:off x="0" y="0"/>
                    <a:ext cx="925195" cy="314960"/>
                  </a:xfrm>
                  <a:prstGeom prst="rect">
                    <a:avLst/>
                  </a:prstGeom>
                  <a:noFill/>
                  <a:ln>
                    <a:noFill/>
                  </a:ln>
                </pic:spPr>
              </pic:pic>
            </a:graphicData>
          </a:graphic>
        </wp:inline>
      </w:drawing>
    </w:r>
    <w:r>
      <w:rPr>
        <w:rFonts w:hint="eastAsia" w:eastAsia="宋体"/>
        <w:lang w:val="en-US" w:eastAsia="zh-CN"/>
      </w:rPr>
      <w:t xml:space="preserve"> </w:t>
    </w:r>
    <w:r>
      <w:rPr>
        <w:rFonts w:hint="eastAsia" w:ascii="宋体" w:hAnsi="宋体" w:eastAsia="宋体" w:cs="宋体"/>
        <w:sz w:val="21"/>
        <w:szCs w:val="21"/>
        <w:lang w:val="en-US" w:eastAsia="zh-CN"/>
      </w:rPr>
      <w:t>《环球医学进展》                              2023年第2卷第1期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992EB"/>
    <w:multiLevelType w:val="singleLevel"/>
    <w:tmpl w:val="D95992EB"/>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mMzNGY1ZjkyODg3YTFjZmM4MDZhYTRlNGIzOTAifQ=="/>
  </w:docVars>
  <w:rsids>
    <w:rsidRoot w:val="00E54826"/>
    <w:rsid w:val="00311C76"/>
    <w:rsid w:val="00425610"/>
    <w:rsid w:val="00904565"/>
    <w:rsid w:val="00E54826"/>
    <w:rsid w:val="04785FE3"/>
    <w:rsid w:val="05592288"/>
    <w:rsid w:val="05CB4C93"/>
    <w:rsid w:val="0D4B2429"/>
    <w:rsid w:val="0F550E5A"/>
    <w:rsid w:val="10725DA5"/>
    <w:rsid w:val="10CB329E"/>
    <w:rsid w:val="111F5DE0"/>
    <w:rsid w:val="147B5F8B"/>
    <w:rsid w:val="1F2111C5"/>
    <w:rsid w:val="202E7358"/>
    <w:rsid w:val="23486A6F"/>
    <w:rsid w:val="2C2E26E3"/>
    <w:rsid w:val="31F85D97"/>
    <w:rsid w:val="329C340D"/>
    <w:rsid w:val="32D63C1D"/>
    <w:rsid w:val="375241BA"/>
    <w:rsid w:val="37BA6923"/>
    <w:rsid w:val="381D64D1"/>
    <w:rsid w:val="3AAB33C0"/>
    <w:rsid w:val="41660564"/>
    <w:rsid w:val="45F20D9D"/>
    <w:rsid w:val="498667D2"/>
    <w:rsid w:val="5401599B"/>
    <w:rsid w:val="561C4B56"/>
    <w:rsid w:val="57EE0F3A"/>
    <w:rsid w:val="5ADE062E"/>
    <w:rsid w:val="5BB42F43"/>
    <w:rsid w:val="5C814A76"/>
    <w:rsid w:val="5EF7720B"/>
    <w:rsid w:val="659C44E4"/>
    <w:rsid w:val="6C8B0FF9"/>
    <w:rsid w:val="7746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4746</Words>
  <Characters>6723</Characters>
  <Lines>63</Lines>
  <Paragraphs>17</Paragraphs>
  <TotalTime>14</TotalTime>
  <ScaleCrop>false</ScaleCrop>
  <LinksUpToDate>false</LinksUpToDate>
  <CharactersWithSpaces>6983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2023-10-27T05:04:00Z</dcterms:created>
  <dc:creator>Admin</dc:creator>
  <cp:lastModifiedBy>奚溪西嘻</cp:lastModifiedBy>
  <dcterms:modified xsi:type="dcterms:W3CDTF">2024-02-27T01:45:07Z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F9CE8BB7A4B04C438F51ECB63754B4BC_13</vt:lpwstr>
  </property>
</Properties>
</file>