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5" w:firstLineChars="450"/>
      </w:pPr>
      <w:r>
        <w:rPr>
          <w:rFonts w:hint="eastAsia" w:ascii="宋体" w:hAnsi="宋体" w:eastAsia="宋体" w:cs="宋体"/>
          <w:b/>
          <w:sz w:val="28"/>
          <w:szCs w:val="28"/>
          <w:lang w:eastAsia="zh-Hans"/>
        </w:rPr>
        <w:t>电针刺激指伸肌在</w:t>
      </w:r>
      <w:r>
        <w:rPr>
          <w:rFonts w:hint="eastAsia" w:ascii="宋体" w:hAnsi="宋体" w:eastAsia="宋体" w:cs="宋体"/>
          <w:b/>
          <w:sz w:val="28"/>
          <w:szCs w:val="28"/>
        </w:rPr>
        <w:t>脑卒中手功能康复的临床疗效评价</w:t>
      </w:r>
      <w:r>
        <w:rPr>
          <w:rFonts w:hint="eastAsia" w:ascii="宋体" w:hAnsi="宋体" w:eastAsia="宋体" w:cs="宋体"/>
          <w:sz w:val="28"/>
          <w:szCs w:val="28"/>
        </w:rPr>
        <w:t xml:space="preserve">  </w:t>
      </w:r>
      <w:r>
        <w:t xml:space="preserve">    </w:t>
      </w:r>
    </w:p>
    <w:p>
      <w:pPr>
        <w:spacing w:line="360" w:lineRule="auto"/>
        <w:ind w:firstLine="420" w:firstLineChars="200"/>
        <w:jc w:val="center"/>
        <w:rPr>
          <w:rFonts w:hint="eastAsia" w:asciiTheme="minorEastAsia" w:hAnsiTheme="minorEastAsia" w:eastAsiaTheme="minorEastAsia" w:cstheme="minorEastAsia"/>
          <w:color w:val="000000"/>
          <w:sz w:val="21"/>
          <w:szCs w:val="21"/>
          <w:vertAlign w:val="superscript"/>
        </w:rPr>
      </w:pPr>
      <w:r>
        <w:rPr>
          <w:rFonts w:hint="eastAsia" w:asciiTheme="minorEastAsia" w:hAnsiTheme="minorEastAsia" w:eastAsiaTheme="minorEastAsia" w:cstheme="minorEastAsia"/>
          <w:color w:val="000000"/>
          <w:sz w:val="21"/>
          <w:szCs w:val="21"/>
        </w:rPr>
        <w:t>王建之</w:t>
      </w:r>
      <w:r>
        <w:rPr>
          <w:rFonts w:hint="eastAsia" w:asciiTheme="minorEastAsia" w:hAnsiTheme="minorEastAsia" w:cstheme="minorEastAsia"/>
          <w:color w:val="000000"/>
          <w:sz w:val="21"/>
          <w:szCs w:val="21"/>
          <w:vertAlign w:val="superscript"/>
          <w:lang w:val="en-US" w:eastAsia="zh-CN"/>
        </w:rPr>
        <w:t>*</w:t>
      </w:r>
      <w:r>
        <w:rPr>
          <w:rFonts w:hint="eastAsia" w:asciiTheme="minorEastAsia" w:hAnsiTheme="minorEastAsia" w:eastAsiaTheme="minorEastAsia" w:cstheme="minorEastAsia"/>
          <w:color w:val="000000"/>
          <w:sz w:val="21"/>
          <w:szCs w:val="21"/>
        </w:rPr>
        <w:t>，高灵爱，孟鑫</w:t>
      </w:r>
    </w:p>
    <w:p>
      <w:pPr>
        <w:spacing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杭州市临平区中西医结合医院</w:t>
      </w:r>
    </w:p>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*通讯作者：</w:t>
      </w:r>
      <w:r>
        <w:rPr>
          <w:rFonts w:hint="eastAsia" w:asciiTheme="minorEastAsia" w:hAnsiTheme="minorEastAsia" w:eastAsiaTheme="minorEastAsia" w:cstheme="minorEastAsia"/>
          <w:color w:val="000000"/>
          <w:sz w:val="21"/>
          <w:szCs w:val="21"/>
        </w:rPr>
        <w:t>王建之</w:t>
      </w:r>
      <w:r>
        <w:rPr>
          <w:rFonts w:hint="eastAsia" w:asciiTheme="minorEastAsia" w:hAnsiTheme="minorEastAsia" w:cstheme="minorEastAsia"/>
          <w:color w:val="000000"/>
          <w:sz w:val="21"/>
          <w:szCs w:val="21"/>
          <w:lang w:eastAsia="zh-CN"/>
        </w:rPr>
        <w:t>，shenqushq@163.com</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基金项目：杭州市卫生科技计划项目（2018B044）</w:t>
      </w:r>
    </w:p>
    <w:p>
      <w:pPr>
        <w:spacing w:line="240" w:lineRule="auto"/>
        <w:ind w:firstLine="420" w:firstLineChars="200"/>
        <w:jc w:val="center"/>
        <w:rPr>
          <w:rFonts w:hint="eastAsia" w:asciiTheme="minorEastAsia" w:hAnsiTheme="minorEastAsia" w:eastAsiaTheme="minorEastAsia" w:cstheme="minorEastAsia"/>
          <w:color w:val="000000"/>
          <w:sz w:val="21"/>
          <w:szCs w:val="21"/>
        </w:rPr>
      </w:pPr>
    </w:p>
    <w:p>
      <w:pPr>
        <w:spacing w:line="240" w:lineRule="auto"/>
        <w:rPr>
          <w:rFonts w:hint="eastAsia" w:asciiTheme="minorEastAsia" w:hAnsiTheme="minorEastAsia" w:eastAsiaTheme="minorEastAsia" w:cstheme="minorEastAsia"/>
          <w:b/>
          <w:bCs/>
          <w:color w:val="000000"/>
          <w:sz w:val="21"/>
          <w:szCs w:val="21"/>
        </w:rPr>
      </w:pPr>
      <w:r>
        <w:rPr>
          <w:rFonts w:hint="eastAsia" w:ascii="宋体" w:hAnsi="宋体" w:eastAsia="宋体" w:cs="宋体"/>
          <w:b/>
          <w:color w:val="auto"/>
          <w:sz w:val="21"/>
        </w:rPr>
        <w:t>【摘要】</w:t>
      </w:r>
      <w:r>
        <w:rPr>
          <w:rFonts w:hint="eastAsia" w:asciiTheme="minorEastAsia" w:hAnsiTheme="minorEastAsia" w:eastAsiaTheme="minorEastAsia" w:cstheme="minorEastAsia"/>
          <w:color w:val="000000"/>
          <w:sz w:val="21"/>
          <w:szCs w:val="21"/>
        </w:rPr>
        <w:t>目的:探讨电针刺激指伸肌在治疗脑卒中后上肢及手功能障碍的临床效果。方法:纳入2018年12月至2021年12月于本院康复科收治的脑卒中患者。随机分为电针组(n=30)和经皮组(n=30),所有患者均接受基础康复治疗。电针组接受在指伸肌处手三里、外关穴的电针刺激,而经皮组接受手三里、外关穴位的经皮治疗。结果:治疗后,两组患者的上肢运动功能Fugl-Meyer Assessment(FMA)量表评分和Barthel指数评分均有显著提升(p&lt;0.05)。电针组在上肢运动功能FMA量表评分和Barthel指数评分方面的改善,明显优于对照组(p&lt;0.01)。结论:电针刺激指伸肌在治疗脑卒中后手功能障碍方面显示出显著的临床效果，尤其是改善上肢运动功能和日常生活能力方面具有更明显的优势。</w:t>
      </w:r>
    </w:p>
    <w:p>
      <w:pPr>
        <w:spacing w:line="240" w:lineRule="auto"/>
        <w:rPr>
          <w:rFonts w:hint="eastAsia" w:asciiTheme="minorEastAsia" w:hAnsiTheme="minorEastAsia" w:eastAsiaTheme="minorEastAsia" w:cstheme="minorEastAsia"/>
          <w:color w:val="000000"/>
          <w:sz w:val="21"/>
          <w:szCs w:val="21"/>
        </w:rPr>
      </w:pPr>
      <w:r>
        <w:rPr>
          <w:rFonts w:hint="eastAsia" w:ascii="宋体" w:hAnsi="宋体" w:eastAsia="宋体" w:cs="宋体"/>
          <w:b/>
          <w:color w:val="auto"/>
          <w:sz w:val="21"/>
        </w:rPr>
        <w:t>【关键词】</w:t>
      </w:r>
      <w:r>
        <w:rPr>
          <w:rFonts w:hint="eastAsia" w:asciiTheme="minorEastAsia" w:hAnsiTheme="minorEastAsia" w:eastAsiaTheme="minorEastAsia" w:cstheme="minorEastAsia"/>
          <w:color w:val="000000"/>
          <w:sz w:val="21"/>
          <w:szCs w:val="21"/>
        </w:rPr>
        <w:t xml:space="preserve">脑卒中；电针；指伸肌；手功能障碍 </w:t>
      </w:r>
    </w:p>
    <w:p>
      <w:pPr>
        <w:spacing w:line="240" w:lineRule="auto"/>
        <w:rPr>
          <w:rFonts w:hint="eastAsia" w:asciiTheme="minorEastAsia" w:hAnsiTheme="minorEastAsia" w:eastAsiaTheme="minorEastAsia" w:cstheme="minorEastAsia"/>
          <w:color w:val="000000"/>
          <w:sz w:val="21"/>
          <w:szCs w:val="21"/>
        </w:rPr>
      </w:pPr>
    </w:p>
    <w:p>
      <w:pPr>
        <w:spacing w:line="240" w:lineRule="auto"/>
        <w:ind w:firstLine="420" w:firstLineChars="200"/>
        <w:rPr>
          <w:rFonts w:hint="eastAsia" w:asciiTheme="minorEastAsia" w:hAnsiTheme="minorEastAsia" w:eastAsiaTheme="minorEastAsia" w:cstheme="minorEastAsia"/>
          <w:color w:val="000000"/>
          <w:sz w:val="21"/>
          <w:szCs w:val="21"/>
        </w:rPr>
        <w:sectPr>
          <w:headerReference r:id="rId3" w:type="default"/>
          <w:footerReference r:id="rId4" w:type="default"/>
          <w:pgSz w:w="11906" w:h="16838"/>
          <w:pgMar w:top="1440" w:right="1134" w:bottom="1440" w:left="1134" w:header="851" w:footer="992" w:gutter="0"/>
          <w:cols w:space="425" w:num="1"/>
          <w:docGrid w:type="lines" w:linePitch="312" w:charSpace="0"/>
        </w:sectPr>
      </w:pP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脑卒中是一种具有高发病率、高致死率、高致残率的临床常见疾病,全球范围内对公共卫生构成了显著挑战</w:t>
      </w:r>
      <w:r>
        <w:rPr>
          <w:rFonts w:hint="eastAsia" w:asciiTheme="minorEastAsia" w:hAnsiTheme="minorEastAsia" w:eastAsiaTheme="minorEastAsia" w:cstheme="minorEastAsia"/>
          <w:color w:val="000000"/>
          <w:sz w:val="21"/>
          <w:szCs w:val="21"/>
          <w:vertAlign w:val="superscript"/>
        </w:rPr>
        <w:t>[1]</w:t>
      </w:r>
      <w:r>
        <w:rPr>
          <w:rFonts w:hint="eastAsia" w:asciiTheme="minorEastAsia" w:hAnsiTheme="minorEastAsia" w:eastAsiaTheme="minorEastAsia" w:cstheme="minorEastAsia"/>
          <w:color w:val="000000"/>
          <w:sz w:val="21"/>
          <w:szCs w:val="21"/>
        </w:rPr>
        <w:t>。脑卒中的后遗症中,手功能障碍尤为常见,严重影响患者的日常生活质量。这种障碍可能限制运动能力,导致肌肉菱缩和关节僵硬,从而加剧残疾</w:t>
      </w:r>
      <w:r>
        <w:rPr>
          <w:rFonts w:hint="eastAsia" w:asciiTheme="minorEastAsia" w:hAnsiTheme="minorEastAsia" w:eastAsiaTheme="minorEastAsia" w:cstheme="minorEastAsia"/>
          <w:color w:val="000000"/>
          <w:sz w:val="21"/>
          <w:szCs w:val="21"/>
          <w:vertAlign w:val="superscript"/>
        </w:rPr>
        <w:t>[2]</w:t>
      </w:r>
      <w:r>
        <w:rPr>
          <w:rFonts w:hint="eastAsia" w:asciiTheme="minorEastAsia" w:hAnsiTheme="minorEastAsia" w:eastAsiaTheme="minorEastAsia" w:cstheme="minorEastAsia"/>
          <w:color w:val="000000"/>
          <w:sz w:val="21"/>
          <w:szCs w:val="21"/>
        </w:rPr>
        <w:t>。近年来,电针刺激作为一种传统中医治疗方法,因其提供持续刺激的特点,在脑卒中后手功能恢复中展现出潜力</w:t>
      </w:r>
      <w:r>
        <w:rPr>
          <w:rFonts w:hint="eastAsia" w:asciiTheme="minorEastAsia" w:hAnsiTheme="minorEastAsia" w:eastAsiaTheme="minorEastAsia" w:cstheme="minorEastAsia"/>
          <w:color w:val="000000"/>
          <w:sz w:val="21"/>
          <w:szCs w:val="21"/>
          <w:vertAlign w:val="superscript"/>
        </w:rPr>
        <w:t>[3]</w:t>
      </w:r>
      <w:r>
        <w:rPr>
          <w:rFonts w:hint="eastAsia" w:asciiTheme="minorEastAsia" w:hAnsiTheme="minorEastAsia" w:eastAsiaTheme="minorEastAsia" w:cstheme="minorEastAsia"/>
          <w:color w:val="000000"/>
          <w:sz w:val="21"/>
          <w:szCs w:val="21"/>
        </w:rPr>
        <w:t>。本研究旨在评估电针刺激指伸肌在脑卒中患者手功能恢复方面的临床效果,探究其在促进神经功能恢复和改善运动能力方面的作用。现报道如下。</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cstheme="minorEastAsia"/>
          <w:b/>
          <w:bCs/>
          <w:color w:val="000000"/>
          <w:sz w:val="21"/>
          <w:szCs w:val="21"/>
          <w:lang w:val="en-US" w:eastAsia="zh-CN"/>
        </w:rPr>
        <w:t>一、</w:t>
      </w:r>
      <w:r>
        <w:rPr>
          <w:rFonts w:hint="eastAsia" w:asciiTheme="minorEastAsia" w:hAnsiTheme="minorEastAsia" w:eastAsiaTheme="minorEastAsia" w:cstheme="minorEastAsia"/>
          <w:b/>
          <w:bCs/>
          <w:color w:val="000000"/>
          <w:sz w:val="21"/>
          <w:szCs w:val="21"/>
        </w:rPr>
        <w:t>资料与方法</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1.1  一般资料</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临平区中西医结合医院康复科病房患者60例,其中男34例,女26例,随机分为对照组30例和观察组30例。两组在年龄、性别、病程方面差异均不显著(P&gt;0.05),具有可比性。</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1.2  诊断标准</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①西医诊断标准:患者需符合缺血性脑卒中的西医诊断标准</w:t>
      </w:r>
      <w:r>
        <w:rPr>
          <w:rFonts w:hint="eastAsia" w:asciiTheme="minorEastAsia" w:hAnsiTheme="minorEastAsia" w:eastAsiaTheme="minorEastAsia" w:cstheme="minorEastAsia"/>
          <w:color w:val="000000"/>
          <w:sz w:val="21"/>
          <w:szCs w:val="21"/>
          <w:vertAlign w:val="superscript"/>
        </w:rPr>
        <w:t>[4]</w:t>
      </w:r>
      <w:r>
        <w:rPr>
          <w:rFonts w:hint="eastAsia" w:asciiTheme="minorEastAsia" w:hAnsiTheme="minorEastAsia" w:eastAsiaTheme="minorEastAsia" w:cstheme="minorEastAsia"/>
          <w:color w:val="000000"/>
          <w:sz w:val="21"/>
          <w:szCs w:val="21"/>
        </w:rPr>
        <w:t>。主要临床表现包括偏瘫、共济失调、语言障碍(口齿不清)等神经系统功能障碍。</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②中医诊断标准:符合中医“经筋病”诊断范畴,主要症状包括半身不遂、上肢僵硬、偏身感觉异常。次要症状包括全身乏力、手指肿胀、筋脉拘挛。</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1.3  纳入标准：</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首次发生脑卒中，病程1周～3月，肌力及主动关节活动度与健侧比较，存在手背伸功能障碍；②年龄50～70岁；③无认知障碍；④患侧上肢Brunnstrom分级I～Ⅲ级；⑤意识清醒，病情稳定，生命体征稳定；⑥患者本人或其直系亲属、配偶签署知情同意书。</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cstheme="minorEastAsia"/>
          <w:b/>
          <w:bCs/>
          <w:color w:val="000000"/>
          <w:sz w:val="21"/>
          <w:szCs w:val="21"/>
          <w:lang w:val="en-US" w:eastAsia="zh-CN"/>
        </w:rPr>
        <w:t>二、</w:t>
      </w:r>
      <w:r>
        <w:rPr>
          <w:rFonts w:hint="eastAsia" w:asciiTheme="minorEastAsia" w:hAnsiTheme="minorEastAsia" w:eastAsiaTheme="minorEastAsia" w:cstheme="minorEastAsia"/>
          <w:b/>
          <w:bCs/>
          <w:color w:val="000000"/>
          <w:sz w:val="21"/>
          <w:szCs w:val="21"/>
        </w:rPr>
        <w:t>方法</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本研究共入选60例脑卒中后上肢功能障碍患者,随机分为两组:电针刺激组和经皮穴位电刺激组。两组患者均接受常规西医治疗及康复训练。</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2.1  经皮穴位电刺激组(对照组)</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在对照组中,采用经皮穴位电刺激治疗,选取手三里穴及外关穴作为主要穴位，使用40mmx40mm的自粘电极,连接至电子针疗仪进行刺激。</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2.2  电针刺激组(观察组)</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针组同样选取手三里、外关两穴。治疗前,施针者需佩戴口罩并双手消毒。穴位区域使用2%碘伏由内向外消毒后,用75%酒精脱碘。采用25mmx40mm针柄,施针者利用腕力快速刺入皮肤至适当深度,以患者出现酸胀感为准。随后,使用华伦牌SDZ-ⅡB型电子针疗仪进行电针刺激,治疗参数设置为频率2Hz,每秒30个脉冲(脉宽0.3ms),电流强度0-100mA,注意避免引起患者不适。</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两组患者的治疗均为每次20分钟,每周5次,持续治疗时间为周一至周五,连续6周。</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cstheme="minorEastAsia"/>
          <w:b/>
          <w:bCs/>
          <w:color w:val="000000"/>
          <w:sz w:val="21"/>
          <w:szCs w:val="21"/>
          <w:lang w:val="en-US" w:eastAsia="zh-CN"/>
        </w:rPr>
        <w:t>三、</w:t>
      </w:r>
      <w:r>
        <w:rPr>
          <w:rFonts w:hint="eastAsia" w:asciiTheme="minorEastAsia" w:hAnsiTheme="minorEastAsia" w:eastAsiaTheme="minorEastAsia" w:cstheme="minorEastAsia"/>
          <w:b/>
          <w:bCs/>
          <w:color w:val="000000"/>
          <w:sz w:val="21"/>
          <w:szCs w:val="21"/>
        </w:rPr>
        <w:t>疗效观察</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3.1  观察指标</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传统量表评定：①Fugl—Meyer运动功能量表评价手运动功能，手-腕部分总分30分；②Barthel指数评定日常生活活动能力，总分100。评估工作分别在入组后和治疗6周时进行，评定者对患者分组不知情。</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3.2  统计处理</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采用SPSS23.0统计软件进行数据统计分析，各组数据以均数±标准差统计描述。计量资料采用t检验，分类资料采用卡方检验。</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3.3  结果</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3.3.1  二组患者一般资料比较</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共收集到54例数据，</w:t>
      </w:r>
      <w:r>
        <w:rPr>
          <w:rFonts w:hint="eastAsia" w:asciiTheme="minorEastAsia" w:hAnsiTheme="minorEastAsia" w:eastAsiaTheme="minorEastAsia" w:cstheme="minorEastAsia"/>
          <w:color w:val="000000"/>
          <w:sz w:val="21"/>
          <w:szCs w:val="21"/>
          <w:lang w:eastAsia="zh-Hans"/>
        </w:rPr>
        <w:t>经皮组</w:t>
      </w:r>
      <w:r>
        <w:rPr>
          <w:rFonts w:hint="eastAsia" w:asciiTheme="minorEastAsia" w:hAnsiTheme="minorEastAsia" w:eastAsiaTheme="minorEastAsia" w:cstheme="minorEastAsia"/>
          <w:color w:val="000000"/>
          <w:sz w:val="21"/>
          <w:szCs w:val="21"/>
        </w:rPr>
        <w:t>完成27例（</w:t>
      </w:r>
      <w:r>
        <w:rPr>
          <w:rFonts w:hint="eastAsia" w:asciiTheme="minorEastAsia" w:hAnsiTheme="minorEastAsia" w:eastAsiaTheme="minorEastAsia" w:cstheme="minorEastAsia"/>
          <w:color w:val="000000"/>
          <w:sz w:val="21"/>
          <w:szCs w:val="21"/>
          <w:lang w:eastAsia="zh-Hans"/>
        </w:rPr>
        <w:t>脱落3例</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Hans"/>
        </w:rPr>
        <w:t>电针组</w:t>
      </w:r>
      <w:r>
        <w:rPr>
          <w:rFonts w:hint="eastAsia" w:asciiTheme="minorEastAsia" w:hAnsiTheme="minorEastAsia" w:eastAsiaTheme="minorEastAsia" w:cstheme="minorEastAsia"/>
          <w:color w:val="000000"/>
          <w:sz w:val="21"/>
          <w:szCs w:val="21"/>
        </w:rPr>
        <w:t>完成27例（</w:t>
      </w:r>
      <w:r>
        <w:rPr>
          <w:rFonts w:hint="eastAsia" w:asciiTheme="minorEastAsia" w:hAnsiTheme="minorEastAsia" w:eastAsiaTheme="minorEastAsia" w:cstheme="minorEastAsia"/>
          <w:color w:val="000000"/>
          <w:sz w:val="21"/>
          <w:szCs w:val="21"/>
          <w:lang w:eastAsia="zh-Hans"/>
        </w:rPr>
        <w:t>脱落3例</w:t>
      </w:r>
      <w:r>
        <w:rPr>
          <w:rFonts w:hint="eastAsia" w:asciiTheme="minorEastAsia" w:hAnsiTheme="minorEastAsia" w:eastAsiaTheme="minorEastAsia" w:cstheme="minorEastAsia"/>
          <w:color w:val="000000"/>
          <w:sz w:val="21"/>
          <w:szCs w:val="21"/>
        </w:rPr>
        <w:t>）。各组患者性别、年龄、Fugal-Mayer评分、Barthel评分干预前比较，差异均无统计学意义（均 P＞0.05），具有可比性。见表 1。</w:t>
      </w:r>
    </w:p>
    <w:p>
      <w:pPr>
        <w:spacing w:line="240" w:lineRule="auto"/>
        <w:jc w:val="center"/>
        <w:rPr>
          <w:rFonts w:hint="eastAsia" w:asciiTheme="minorEastAsia" w:hAnsiTheme="minorEastAsia" w:eastAsiaTheme="minorEastAsia" w:cstheme="minorEastAsia"/>
          <w:sz w:val="21"/>
          <w:szCs w:val="21"/>
        </w:rPr>
        <w:sectPr>
          <w:type w:val="continuous"/>
          <w:pgSz w:w="11906" w:h="16838"/>
          <w:pgMar w:top="1440" w:right="1134" w:bottom="1440" w:left="1134" w:header="851" w:footer="992" w:gutter="0"/>
          <w:cols w:equalWidth="0" w:num="2">
            <w:col w:w="4606" w:space="425"/>
            <w:col w:w="4606"/>
          </w:cols>
          <w:docGrid w:type="lines" w:linePitch="312" w:charSpace="0"/>
        </w:sectPr>
      </w:pP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表1 一般资料比较</w:t>
      </w:r>
    </w:p>
    <w:tbl>
      <w:tblPr>
        <w:tblStyle w:val="5"/>
        <w:tblpPr w:leftFromText="180" w:rightFromText="180" w:vertAnchor="text" w:horzAnchor="page" w:tblpX="1946" w:tblpY="165"/>
        <w:tblOverlap w:val="never"/>
        <w:tblW w:w="880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0"/>
        <w:gridCol w:w="1510"/>
        <w:gridCol w:w="1540"/>
        <w:gridCol w:w="1540"/>
        <w:gridCol w:w="1540"/>
        <w:gridCol w:w="154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130" w:type="dxa"/>
            <w:vMerge w:val="restar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w:t>
            </w:r>
          </w:p>
        </w:tc>
        <w:tc>
          <w:tcPr>
            <w:tcW w:w="1510" w:type="dxa"/>
            <w:vMerge w:val="restar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540" w:type="dxa"/>
            <w:vMerge w:val="restar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Fugal-Mayer评分</w:t>
            </w:r>
          </w:p>
        </w:tc>
        <w:tc>
          <w:tcPr>
            <w:tcW w:w="1540" w:type="dxa"/>
            <w:vMerge w:val="restart"/>
            <w:tcBorders>
              <w:tl2br w:val="nil"/>
              <w:tr2bl w:val="nil"/>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Barthel评分</w:t>
            </w:r>
          </w:p>
        </w:tc>
        <w:tc>
          <w:tcPr>
            <w:tcW w:w="3080" w:type="dxa"/>
            <w:gridSpan w:val="2"/>
            <w:tcBorders>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性别（n%）</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130" w:type="dxa"/>
            <w:vMerge w:val="continue"/>
            <w:tcBorders>
              <w:bottom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p>
        </w:tc>
        <w:tc>
          <w:tcPr>
            <w:tcW w:w="1510" w:type="dxa"/>
            <w:vMerge w:val="continue"/>
            <w:tcBorders>
              <w:bottom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p>
        </w:tc>
        <w:tc>
          <w:tcPr>
            <w:tcW w:w="1540" w:type="dxa"/>
            <w:vMerge w:val="continue"/>
            <w:tcBorders>
              <w:bottom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p>
        </w:tc>
        <w:tc>
          <w:tcPr>
            <w:tcW w:w="1540" w:type="dxa"/>
            <w:vMerge w:val="continue"/>
            <w:tcBorders>
              <w:bottom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p>
        </w:tc>
        <w:tc>
          <w:tcPr>
            <w:tcW w:w="1540" w:type="dxa"/>
            <w:tcBorders>
              <w:bottom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1540" w:type="dxa"/>
            <w:tcBorders>
              <w:bottom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130" w:type="dxa"/>
            <w:tcBorders>
              <w:top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经皮组</w:t>
            </w:r>
          </w:p>
        </w:tc>
        <w:tc>
          <w:tcPr>
            <w:tcW w:w="1510" w:type="dxa"/>
            <w:tcBorders>
              <w:top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62.35±14.54</w:t>
            </w:r>
          </w:p>
        </w:tc>
        <w:tc>
          <w:tcPr>
            <w:tcW w:w="1540" w:type="dxa"/>
            <w:tcBorders>
              <w:top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12.37±5.86</w:t>
            </w:r>
          </w:p>
        </w:tc>
        <w:tc>
          <w:tcPr>
            <w:tcW w:w="1540" w:type="dxa"/>
            <w:tcBorders>
              <w:top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50.38±11.33</w:t>
            </w:r>
          </w:p>
        </w:tc>
        <w:tc>
          <w:tcPr>
            <w:tcW w:w="1540" w:type="dxa"/>
            <w:tcBorders>
              <w:top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16(61.54)</w:t>
            </w:r>
          </w:p>
        </w:tc>
        <w:tc>
          <w:tcPr>
            <w:tcW w:w="1540" w:type="dxa"/>
            <w:tcBorders>
              <w:top w:val="single" w:color="auto" w:sz="4" w:space="0"/>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10(38.46)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130" w:type="dxa"/>
            <w:tcBorders>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电针组</w:t>
            </w:r>
          </w:p>
        </w:tc>
        <w:tc>
          <w:tcPr>
            <w:tcW w:w="1510" w:type="dxa"/>
            <w:tcBorders>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63.7±12.71</w:t>
            </w:r>
          </w:p>
        </w:tc>
        <w:tc>
          <w:tcPr>
            <w:tcW w:w="1540" w:type="dxa"/>
            <w:tcBorders>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13.11±6.24</w:t>
            </w:r>
          </w:p>
        </w:tc>
        <w:tc>
          <w:tcPr>
            <w:tcW w:w="1540" w:type="dxa"/>
            <w:tcBorders>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48.19±12.87</w:t>
            </w:r>
          </w:p>
        </w:tc>
        <w:tc>
          <w:tcPr>
            <w:tcW w:w="1540" w:type="dxa"/>
            <w:tcBorders>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19(70.37)</w:t>
            </w:r>
          </w:p>
        </w:tc>
        <w:tc>
          <w:tcPr>
            <w:tcW w:w="1540" w:type="dxa"/>
            <w:tcBorders>
              <w:tl2br w:val="nil"/>
              <w:tr2bl w:val="nil"/>
            </w:tcBorders>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8(29.63)</w:t>
            </w:r>
          </w:p>
        </w:tc>
      </w:tr>
    </w:tbl>
    <w:p>
      <w:pPr>
        <w:spacing w:line="240" w:lineRule="auto"/>
        <w:rPr>
          <w:rFonts w:hint="eastAsia" w:asciiTheme="minorEastAsia" w:hAnsiTheme="minorEastAsia" w:eastAsiaTheme="minorEastAsia" w:cstheme="minorEastAsia"/>
          <w:color w:val="000000"/>
          <w:sz w:val="21"/>
          <w:szCs w:val="21"/>
        </w:rPr>
      </w:pPr>
    </w:p>
    <w:p>
      <w:pPr>
        <w:spacing w:line="240" w:lineRule="auto"/>
        <w:rPr>
          <w:rFonts w:hint="eastAsia" w:asciiTheme="minorEastAsia" w:hAnsiTheme="minorEastAsia" w:eastAsiaTheme="minorEastAsia" w:cstheme="minorEastAsia"/>
          <w:color w:val="000000"/>
          <w:sz w:val="21"/>
          <w:szCs w:val="21"/>
        </w:rPr>
      </w:pPr>
    </w:p>
    <w:p>
      <w:pPr>
        <w:spacing w:line="240" w:lineRule="auto"/>
        <w:rPr>
          <w:rFonts w:hint="eastAsia" w:asciiTheme="minorEastAsia" w:hAnsiTheme="minorEastAsia" w:eastAsiaTheme="minorEastAsia" w:cstheme="minorEastAsia"/>
          <w:color w:val="000000"/>
          <w:sz w:val="21"/>
          <w:szCs w:val="21"/>
        </w:rPr>
      </w:pPr>
    </w:p>
    <w:p>
      <w:pPr>
        <w:spacing w:line="240" w:lineRule="auto"/>
        <w:rPr>
          <w:rFonts w:hint="eastAsia" w:asciiTheme="minorEastAsia" w:hAnsiTheme="minorEastAsia" w:eastAsiaTheme="minorEastAsia" w:cstheme="minorEastAsia"/>
          <w:color w:val="000000"/>
          <w:sz w:val="21"/>
          <w:szCs w:val="21"/>
        </w:rPr>
      </w:pPr>
    </w:p>
    <w:p>
      <w:pPr>
        <w:spacing w:line="240" w:lineRule="auto"/>
        <w:rPr>
          <w:rFonts w:hint="eastAsia" w:asciiTheme="minorEastAsia" w:hAnsiTheme="minorEastAsia" w:eastAsiaTheme="minorEastAsia" w:cstheme="minorEastAsia"/>
          <w:color w:val="000000"/>
          <w:sz w:val="21"/>
          <w:szCs w:val="21"/>
        </w:rPr>
      </w:pPr>
    </w:p>
    <w:p>
      <w:pPr>
        <w:spacing w:line="240" w:lineRule="auto"/>
        <w:rPr>
          <w:rFonts w:hint="eastAsia" w:asciiTheme="minorEastAsia" w:hAnsiTheme="minorEastAsia" w:eastAsiaTheme="minorEastAsia" w:cstheme="minorEastAsia"/>
          <w:b/>
          <w:bCs/>
          <w:color w:val="000000"/>
          <w:sz w:val="21"/>
          <w:szCs w:val="21"/>
        </w:rPr>
      </w:pPr>
    </w:p>
    <w:p>
      <w:pPr>
        <w:spacing w:line="240" w:lineRule="auto"/>
        <w:rPr>
          <w:rFonts w:hint="eastAsia" w:asciiTheme="minorEastAsia" w:hAnsiTheme="minorEastAsia" w:eastAsiaTheme="minorEastAsia" w:cstheme="minorEastAsia"/>
          <w:b/>
          <w:bCs/>
          <w:color w:val="000000"/>
          <w:sz w:val="21"/>
          <w:szCs w:val="21"/>
        </w:rPr>
        <w:sectPr>
          <w:type w:val="continuous"/>
          <w:pgSz w:w="11906" w:h="16838"/>
          <w:pgMar w:top="1440" w:right="1134" w:bottom="1440" w:left="1134" w:header="851" w:footer="992" w:gutter="0"/>
          <w:cols w:space="425" w:num="1"/>
          <w:docGrid w:type="lines" w:linePitch="312" w:charSpace="0"/>
        </w:sectPr>
      </w:pP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3.3.2  两组患者治疗前后Fugal-Mayer评分、Barthel评分比较</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两组治疗后手功能康复的指标比较显示，Fugal-Mayer评分、Barthel评分在不同组别患者之间差异统计学意义（P&lt;0.05）；两组治疗前后Fugal-Mayer评分、Barthel评分，差异统计学意义（P&lt;0.05）见表2。</w:t>
      </w:r>
    </w:p>
    <w:p>
      <w:pPr>
        <w:spacing w:line="240" w:lineRule="auto"/>
        <w:ind w:firstLine="2730" w:firstLineChars="1300"/>
        <w:rPr>
          <w:rFonts w:hint="eastAsia" w:asciiTheme="minorEastAsia" w:hAnsiTheme="minorEastAsia" w:eastAsiaTheme="minorEastAsia" w:cstheme="minorEastAsia"/>
          <w:sz w:val="21"/>
          <w:szCs w:val="21"/>
        </w:rPr>
        <w:sectPr>
          <w:type w:val="continuous"/>
          <w:pgSz w:w="11906" w:h="16838"/>
          <w:pgMar w:top="1440" w:right="1134" w:bottom="1440" w:left="1134" w:header="851" w:footer="992" w:gutter="0"/>
          <w:cols w:equalWidth="0" w:num="2">
            <w:col w:w="4606" w:space="425"/>
            <w:col w:w="4606"/>
          </w:cols>
          <w:docGrid w:type="lines" w:linePitch="312" w:charSpace="0"/>
        </w:sectPr>
      </w:pPr>
    </w:p>
    <w:p>
      <w:pPr>
        <w:spacing w:line="240" w:lineRule="auto"/>
        <w:ind w:firstLine="2730" w:firstLineChars="1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表2 两组治疗治疗后组间比较</w:t>
      </w:r>
      <w:bookmarkStart w:id="1" w:name="_GoBack"/>
      <w:bookmarkEnd w:id="1"/>
    </w:p>
    <w:tbl>
      <w:tblPr>
        <w:tblStyle w:val="4"/>
        <w:tblpPr w:leftFromText="180" w:rightFromText="180" w:vertAnchor="page" w:horzAnchor="page" w:tblpX="1442" w:tblpY="7747"/>
        <w:tblOverlap w:val="never"/>
        <w:tblW w:w="4382"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12"/>
        <w:gridCol w:w="1882"/>
        <w:gridCol w:w="2072"/>
        <w:gridCol w:w="949"/>
        <w:gridCol w:w="82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86" w:type="pct"/>
            <w:tcBorders>
              <w:bottom w:val="single" w:color="auto" w:sz="4" w:space="0"/>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组别</w:t>
            </w:r>
          </w:p>
        </w:tc>
        <w:tc>
          <w:tcPr>
            <w:tcW w:w="1089" w:type="pct"/>
            <w:tcBorders>
              <w:bottom w:val="single" w:color="auto" w:sz="4" w:space="0"/>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经皮组</w:t>
            </w:r>
          </w:p>
        </w:tc>
        <w:tc>
          <w:tcPr>
            <w:tcW w:w="1199" w:type="pct"/>
            <w:tcBorders>
              <w:bottom w:val="single" w:color="auto" w:sz="4" w:space="0"/>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电针组</w:t>
            </w:r>
          </w:p>
        </w:tc>
        <w:tc>
          <w:tcPr>
            <w:tcW w:w="549" w:type="pct"/>
            <w:tcBorders>
              <w:bottom w:val="single" w:color="auto" w:sz="4" w:space="0"/>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w:t>
            </w:r>
          </w:p>
        </w:tc>
        <w:tc>
          <w:tcPr>
            <w:tcW w:w="475" w:type="pct"/>
            <w:tcBorders>
              <w:bottom w:val="single" w:color="auto" w:sz="4" w:space="0"/>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86"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Fugal-Mayer评分（后）</w:t>
            </w:r>
          </w:p>
        </w:tc>
        <w:tc>
          <w:tcPr>
            <w:tcW w:w="108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16.47±4.89</w:t>
            </w:r>
          </w:p>
        </w:tc>
        <w:tc>
          <w:tcPr>
            <w:tcW w:w="119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19.52±5.36</w:t>
            </w:r>
          </w:p>
        </w:tc>
        <w:tc>
          <w:tcPr>
            <w:tcW w:w="54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3.368</w:t>
            </w:r>
          </w:p>
        </w:tc>
        <w:tc>
          <w:tcPr>
            <w:tcW w:w="475"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86"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Barthel评分（后）</w:t>
            </w:r>
          </w:p>
        </w:tc>
        <w:tc>
          <w:tcPr>
            <w:tcW w:w="108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68.78±12.11</w:t>
            </w:r>
          </w:p>
        </w:tc>
        <w:tc>
          <w:tcPr>
            <w:tcW w:w="119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78.11±13.58</w:t>
            </w:r>
          </w:p>
        </w:tc>
        <w:tc>
          <w:tcPr>
            <w:tcW w:w="54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8.124</w:t>
            </w:r>
          </w:p>
        </w:tc>
        <w:tc>
          <w:tcPr>
            <w:tcW w:w="475"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86"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Fugal-Mayer评分（前-后）</w:t>
            </w:r>
          </w:p>
        </w:tc>
        <w:tc>
          <w:tcPr>
            <w:tcW w:w="108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4.12±1.87</w:t>
            </w:r>
          </w:p>
        </w:tc>
        <w:tc>
          <w:tcPr>
            <w:tcW w:w="119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6.88±2.08</w:t>
            </w:r>
          </w:p>
        </w:tc>
        <w:tc>
          <w:tcPr>
            <w:tcW w:w="54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4.287</w:t>
            </w:r>
          </w:p>
        </w:tc>
        <w:tc>
          <w:tcPr>
            <w:tcW w:w="475"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86"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Barthel评分（前-后）</w:t>
            </w:r>
          </w:p>
        </w:tc>
        <w:tc>
          <w:tcPr>
            <w:tcW w:w="108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17.89±4.12</w:t>
            </w:r>
          </w:p>
        </w:tc>
        <w:tc>
          <w:tcPr>
            <w:tcW w:w="119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30.28±5.99</w:t>
            </w:r>
          </w:p>
        </w:tc>
        <w:tc>
          <w:tcPr>
            <w:tcW w:w="549"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9.874</w:t>
            </w:r>
          </w:p>
        </w:tc>
        <w:tc>
          <w:tcPr>
            <w:tcW w:w="475" w:type="pct"/>
            <w:tcBorders>
              <w:tl2br w:val="nil"/>
              <w:tr2bl w:val="nil"/>
            </w:tcBorders>
            <w:shd w:val="clear" w:color="auto" w:fill="auto"/>
            <w:noWrap/>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0.000 </w:t>
            </w:r>
          </w:p>
        </w:tc>
      </w:tr>
    </w:tbl>
    <w:p>
      <w:pPr>
        <w:spacing w:line="240" w:lineRule="auto"/>
        <w:rPr>
          <w:rFonts w:hint="eastAsia" w:asciiTheme="minorEastAsia" w:hAnsiTheme="minorEastAsia" w:eastAsiaTheme="minorEastAsia" w:cstheme="minorEastAsia"/>
          <w:b/>
          <w:bCs/>
          <w:color w:val="000000"/>
          <w:sz w:val="21"/>
          <w:szCs w:val="21"/>
        </w:rPr>
      </w:pPr>
    </w:p>
    <w:p>
      <w:pPr>
        <w:spacing w:line="240" w:lineRule="auto"/>
        <w:rPr>
          <w:rFonts w:hint="eastAsia" w:asciiTheme="minorEastAsia" w:hAnsiTheme="minorEastAsia" w:eastAsiaTheme="minorEastAsia" w:cstheme="minorEastAsia"/>
          <w:b/>
          <w:bCs/>
          <w:color w:val="000000"/>
          <w:sz w:val="21"/>
          <w:szCs w:val="21"/>
        </w:rPr>
      </w:pPr>
    </w:p>
    <w:p>
      <w:pPr>
        <w:spacing w:line="240" w:lineRule="auto"/>
        <w:rPr>
          <w:rFonts w:hint="eastAsia" w:asciiTheme="minorEastAsia" w:hAnsiTheme="minorEastAsia" w:eastAsiaTheme="minorEastAsia" w:cstheme="minorEastAsia"/>
          <w:b/>
          <w:bCs/>
          <w:color w:val="000000"/>
          <w:sz w:val="21"/>
          <w:szCs w:val="21"/>
        </w:rPr>
      </w:pPr>
    </w:p>
    <w:p>
      <w:pPr>
        <w:spacing w:line="240" w:lineRule="auto"/>
        <w:rPr>
          <w:rFonts w:hint="eastAsia" w:asciiTheme="minorEastAsia" w:hAnsiTheme="minorEastAsia" w:eastAsiaTheme="minorEastAsia" w:cstheme="minorEastAsia"/>
          <w:b/>
          <w:bCs/>
          <w:color w:val="000000"/>
          <w:sz w:val="21"/>
          <w:szCs w:val="21"/>
        </w:rPr>
      </w:pPr>
    </w:p>
    <w:p>
      <w:pPr>
        <w:spacing w:line="240" w:lineRule="auto"/>
        <w:rPr>
          <w:rFonts w:hint="eastAsia" w:asciiTheme="minorEastAsia" w:hAnsiTheme="minorEastAsia" w:eastAsiaTheme="minorEastAsia" w:cstheme="minorEastAsia"/>
          <w:b/>
          <w:bCs/>
          <w:color w:val="000000"/>
          <w:sz w:val="21"/>
          <w:szCs w:val="21"/>
        </w:rPr>
      </w:pPr>
    </w:p>
    <w:p>
      <w:pPr>
        <w:spacing w:line="240" w:lineRule="auto"/>
        <w:rPr>
          <w:rFonts w:hint="eastAsia" w:asciiTheme="minorEastAsia" w:hAnsiTheme="minorEastAsia" w:cstheme="minorEastAsia"/>
          <w:b/>
          <w:bCs/>
          <w:color w:val="000000"/>
          <w:sz w:val="21"/>
          <w:szCs w:val="21"/>
          <w:lang w:val="en-US" w:eastAsia="zh-CN"/>
        </w:rPr>
      </w:pPr>
    </w:p>
    <w:p>
      <w:pPr>
        <w:spacing w:line="240" w:lineRule="auto"/>
        <w:rPr>
          <w:rFonts w:hint="eastAsia" w:asciiTheme="minorEastAsia" w:hAnsiTheme="minorEastAsia" w:cstheme="minorEastAsia"/>
          <w:b/>
          <w:bCs/>
          <w:color w:val="000000"/>
          <w:sz w:val="21"/>
          <w:szCs w:val="21"/>
          <w:lang w:val="en-US" w:eastAsia="zh-CN"/>
        </w:rPr>
        <w:sectPr>
          <w:type w:val="continuous"/>
          <w:pgSz w:w="11906" w:h="16838"/>
          <w:pgMar w:top="1440" w:right="1134" w:bottom="1440" w:left="1134" w:header="851" w:footer="992" w:gutter="0"/>
          <w:cols w:space="425" w:num="1"/>
          <w:docGrid w:type="lines" w:linePitch="312" w:charSpace="0"/>
        </w:sectPr>
      </w:pP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cstheme="minorEastAsia"/>
          <w:b/>
          <w:bCs/>
          <w:color w:val="000000"/>
          <w:sz w:val="21"/>
          <w:szCs w:val="21"/>
          <w:lang w:val="en-US" w:eastAsia="zh-CN"/>
        </w:rPr>
        <w:t>四、</w:t>
      </w:r>
      <w:r>
        <w:rPr>
          <w:rFonts w:hint="eastAsia" w:asciiTheme="minorEastAsia" w:hAnsiTheme="minorEastAsia" w:eastAsiaTheme="minorEastAsia" w:cstheme="minorEastAsia"/>
          <w:b/>
          <w:bCs/>
          <w:color w:val="000000"/>
          <w:sz w:val="21"/>
          <w:szCs w:val="21"/>
        </w:rPr>
        <w:t>讨论</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脑卒中是全球范围内危害人类健康的重大疾病之一,尤其是它导致的手功能障碍,严重影响了患者的生活质量。电刺激治疗对于脑卒中手功能障碍的改善已得到广泛证实</w:t>
      </w:r>
      <w:r>
        <w:rPr>
          <w:rFonts w:hint="eastAsia" w:asciiTheme="minorEastAsia" w:hAnsiTheme="minorEastAsia" w:eastAsiaTheme="minorEastAsia" w:cstheme="minorEastAsia"/>
          <w:color w:val="000000"/>
          <w:sz w:val="21"/>
          <w:szCs w:val="21"/>
          <w:vertAlign w:val="superscript"/>
        </w:rPr>
        <w:t>[5,6]</w:t>
      </w:r>
      <w:r>
        <w:rPr>
          <w:rFonts w:hint="eastAsia" w:asciiTheme="minorEastAsia" w:hAnsiTheme="minorEastAsia" w:eastAsiaTheme="minorEastAsia" w:cstheme="minorEastAsia"/>
          <w:color w:val="000000"/>
          <w:sz w:val="21"/>
          <w:szCs w:val="21"/>
        </w:rPr>
        <w:t>。在手功能障碍中,患侧手指屈曲、强握、伸展困难(背伸功能障碍)是常见表现。传统研究在手背伸功能障碍的电刺激治疗上,多关注于手部伸肌的收缩控制和运动再学习,但在电针的刺入深度和经皮电刺激的体表部位选择方面,缺乏解剖层面的精准定位,从而影响治疗效果</w:t>
      </w:r>
      <w:r>
        <w:rPr>
          <w:rFonts w:hint="eastAsia" w:asciiTheme="minorEastAsia" w:hAnsiTheme="minorEastAsia" w:eastAsiaTheme="minorEastAsia" w:cstheme="minorEastAsia"/>
          <w:color w:val="000000"/>
          <w:sz w:val="21"/>
          <w:szCs w:val="21"/>
          <w:vertAlign w:val="superscript"/>
        </w:rPr>
        <w:t>[7]</w:t>
      </w:r>
      <w:r>
        <w:rPr>
          <w:rFonts w:hint="eastAsia" w:asciiTheme="minorEastAsia" w:hAnsiTheme="minorEastAsia" w:eastAsiaTheme="minorEastAsia" w:cstheme="minorEastAsia"/>
          <w:color w:val="000000"/>
          <w:sz w:val="21"/>
          <w:szCs w:val="21"/>
        </w:rPr>
        <w:t>。本研究突出了指伸肌在手功能康复中的重要性,并探讨了传统中医穴位选择在治疗上肢功能障碍中的潜在价值。《针灸甲乙经》言：“</w:t>
      </w:r>
      <w:bookmarkStart w:id="0" w:name="_Hlk152714961"/>
      <w:r>
        <w:rPr>
          <w:rFonts w:hint="eastAsia" w:asciiTheme="minorEastAsia" w:hAnsiTheme="minorEastAsia" w:eastAsiaTheme="minorEastAsia" w:cstheme="minorEastAsia"/>
          <w:color w:val="000000"/>
          <w:sz w:val="21"/>
          <w:szCs w:val="21"/>
        </w:rPr>
        <w:t>肘中濯濯，臂内廉痛，不可及头</w:t>
      </w:r>
      <w:bookmarkEnd w:id="0"/>
      <w:r>
        <w:rPr>
          <w:rFonts w:hint="eastAsia" w:asciiTheme="minorEastAsia" w:hAnsiTheme="minorEastAsia" w:eastAsiaTheme="minorEastAsia" w:cstheme="minorEastAsia"/>
          <w:color w:val="000000"/>
          <w:sz w:val="21"/>
          <w:szCs w:val="21"/>
        </w:rPr>
        <w:t>，外关主之。”由此可见，外关穴可用于治疗手功能障碍。穴下解剖涉及：小指伸肌、指伸肌、示指伸肌。手三里穴属手阳明大肠经，《黄帝内经》提到:“治痿独取阳明”，用于治疗手臂无力、上肢不遂。穴下解剖涉及：桡侧腕长、短伸肌、旋后肌。两穴相配，可通过激活指伸肌功能治疗手功能障碍。采用经皮穴位电刺激时，受电极片大小限制，刺激面积往往过大，刺激电流易累及周边肌群，从而使电流分散，指伸肌刺激精准度降低，并引出不必要的肌肉收缩及上肢运动，对指伸肌的治疗疗效降低。采用电针刺激，刺激靶点精准，能最大限度激活指伸肌功能。</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本课题显示,电针刺激治疗不仅安全可靠,而且刺激精准,疗效显著,提升了患者的手运动功能及生活质量。治疗后,两组患者的上肢运动功能Fugl-Meyer Assessment(FMA)量表评分和Barthel指数评分均有显著提升。与治疗前相比,这些改善均达到了统计学上的显著性。更重要的是,治疗组在上肢运动功能的FMA量表评分和Barthel指数评分方面的改善明显优于对照组,两组间的差异在统计学上具有显著性，表明电针配合外关、手三里穴位的治疗方法在改善脑卒中后上肢功能障碍方面,明显优于单纯的常规治疗。</w:t>
      </w: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尽管本研究提供了有价值的见解,但存在一些局限性。首先,样本量相对较小,可能限制了结果的普遍适用性。此外,研究设计缺乏长期随访,无法确定治疗效果的持久性。还有,研究未能涵盖所有相关的脑卒中类型,可能影响了结果的广泛适用性。未来的研究应探索不同穴位的电刺激及方式对治疗效果的影响,以及如何根据个体差异调整治疗方法。</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参考文献：</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Alexandru R R, Gregory G, Paolo M,et al. Current and future trendsinacute ischemic stroke treatment:direct-to-angiography suite, middle vessel occlusion, large core, and minor strokes[J]. European Journal of Radiology Open, 2023, 11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100536</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Ni H,Cui X, Hu Y, et al. Effect of combining acupuncture and functional training on post-stroke functional impairment of hand[J]. Journal of Acupuncture and Tuina Science, 2013, 11(6):349-352.    </w:t>
      </w:r>
    </w:p>
    <w:p>
      <w:pPr>
        <w:numPr>
          <w:ilvl w:val="0"/>
          <w:numId w:val="1"/>
        </w:numPr>
        <w:wordWrap w:val="0"/>
        <w:autoSpaceDE w:val="0"/>
        <w:spacing w:line="240" w:lineRule="auto"/>
        <w:ind w:left="0" w:leftChars="0" w:firstLine="0" w:firstLineChars="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龙小娜</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孙培养</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王友刚等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电针联合康复机械手对卒中后偏瘫手功能的影响</w:t>
      </w:r>
      <w:r>
        <w:rPr>
          <w:rFonts w:hint="eastAsia" w:asciiTheme="minorEastAsia" w:hAnsiTheme="minorEastAsia" w:eastAsiaTheme="minorEastAsia" w:cstheme="minorEastAsia"/>
          <w:sz w:val="21"/>
          <w:szCs w:val="21"/>
        </w:rPr>
        <w:t>[J].</w:t>
      </w:r>
      <w:r>
        <w:rPr>
          <w:rFonts w:hint="eastAsia" w:asciiTheme="minorEastAsia" w:hAnsiTheme="minorEastAsia" w:eastAsiaTheme="minorEastAsia" w:cstheme="minorEastAsia"/>
          <w:sz w:val="21"/>
          <w:szCs w:val="21"/>
          <w:lang w:val="zh-CN"/>
        </w:rPr>
        <w:t>上海针灸杂志</w:t>
      </w:r>
      <w:r>
        <w:rPr>
          <w:rFonts w:hint="eastAsia" w:asciiTheme="minorEastAsia" w:hAnsiTheme="minorEastAsia" w:eastAsiaTheme="minorEastAsia" w:cstheme="minorEastAsia"/>
          <w:sz w:val="21"/>
          <w:szCs w:val="21"/>
        </w:rPr>
        <w:t xml:space="preserve">,2022,41(04):330-334. </w:t>
      </w:r>
    </w:p>
    <w:p>
      <w:pPr>
        <w:numPr>
          <w:ilvl w:val="0"/>
          <w:numId w:val="1"/>
        </w:numPr>
        <w:wordWrap w:val="0"/>
        <w:autoSpaceDE w:val="0"/>
        <w:spacing w:line="240" w:lineRule="auto"/>
        <w:ind w:left="0" w:leftChars="0" w:firstLine="0" w:firstLineChars="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中华医学会神经病学分会,中华医学会神经病学分会脑血管病学组.中国急性缺血性脑卒中诊治指南2014[J].中华神经科杂志,2015,48(4):246-257.</w:t>
      </w:r>
    </w:p>
    <w:p>
      <w:pPr>
        <w:numPr>
          <w:ilvl w:val="0"/>
          <w:numId w:val="1"/>
        </w:numPr>
        <w:wordWrap w:val="0"/>
        <w:autoSpaceDE w:val="0"/>
        <w:spacing w:line="240" w:lineRule="auto"/>
        <w:ind w:left="0" w:leftChars="0" w:firstLine="0" w:firstLineChars="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[5]孙秋芳,王卫丽,冯学伟.早期功能性电刺激主导下的床旁作业治疗对脑卒中患者手功能障碍的影响[J].数理医药学杂志,2021,34(10):1554-1556.</w:t>
      </w:r>
    </w:p>
    <w:p>
      <w:pPr>
        <w:numPr>
          <w:ilvl w:val="0"/>
          <w:numId w:val="1"/>
        </w:numPr>
        <w:wordWrap w:val="0"/>
        <w:autoSpaceDE w:val="0"/>
        <w:spacing w:line="240" w:lineRule="auto"/>
        <w:ind w:left="0" w:leftChars="0" w:firstLine="0" w:firstLineChars="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[6]郑文燕,毛芝芳.经皮穴位电刺激在老年脑卒中后手功能障碍康复中的应用探讨[J].中国现代医生,2020,58(20):92-95.</w:t>
      </w:r>
    </w:p>
    <w:p>
      <w:pPr>
        <w:numPr>
          <w:ilvl w:val="0"/>
          <w:numId w:val="1"/>
        </w:numPr>
        <w:wordWrap w:val="0"/>
        <w:autoSpaceDE w:val="0"/>
        <w:spacing w:line="240" w:lineRule="auto"/>
        <w:ind w:left="0" w:leftChars="0" w:firstLine="0" w:firstLineChars="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[7]周亚飞,陈庆珍,胡世红等.对侧控制功能性电刺激镜像反馈治疗偏瘫手功能疗效观察[J].康复学报,2021,31(01):63-68.</w:t>
      </w:r>
    </w:p>
    <w:p>
      <w:pPr>
        <w:numPr>
          <w:ilvl w:val="0"/>
          <w:numId w:val="1"/>
        </w:numPr>
        <w:wordWrap w:val="0"/>
        <w:autoSpaceDE w:val="0"/>
        <w:spacing w:line="240" w:lineRule="auto"/>
        <w:ind w:left="0" w:leftChars="0" w:firstLine="0" w:firstLineChars="0"/>
        <w:jc w:val="left"/>
        <w:rPr>
          <w:rFonts w:hint="eastAsia" w:asciiTheme="minorEastAsia" w:hAnsiTheme="minorEastAsia" w:eastAsiaTheme="minorEastAsia" w:cstheme="minorEastAsia"/>
          <w:sz w:val="21"/>
          <w:szCs w:val="21"/>
          <w:lang w:val="zh-CN"/>
        </w:rPr>
        <w:sectPr>
          <w:type w:val="continuous"/>
          <w:pgSz w:w="11906" w:h="16838"/>
          <w:pgMar w:top="1440" w:right="1134" w:bottom="1440" w:left="1134" w:header="851" w:footer="992" w:gutter="0"/>
          <w:cols w:equalWidth="0" w:num="2">
            <w:col w:w="4606" w:space="425"/>
            <w:col w:w="4606"/>
          </w:cols>
          <w:docGrid w:type="lines" w:linePitch="312" w:charSpace="0"/>
        </w:sectPr>
      </w:pPr>
    </w:p>
    <w:p>
      <w:pPr>
        <w:wordWrap w:val="0"/>
        <w:autoSpaceDE w:val="0"/>
        <w:spacing w:line="240" w:lineRule="auto"/>
        <w:ind w:left="480" w:hanging="420" w:hangingChars="200"/>
        <w:jc w:val="left"/>
        <w:rPr>
          <w:rFonts w:hint="eastAsia" w:asciiTheme="minorEastAsia" w:hAnsiTheme="minorEastAsia" w:eastAsiaTheme="minorEastAsia" w:cstheme="minorEastAsia"/>
          <w:sz w:val="21"/>
          <w:szCs w:val="21"/>
          <w:lang w:val="zh-CN"/>
        </w:rPr>
      </w:pPr>
    </w:p>
    <w:p>
      <w:pPr>
        <w:wordWrap w:val="0"/>
        <w:autoSpaceDE w:val="0"/>
        <w:spacing w:line="240" w:lineRule="auto"/>
        <w:ind w:left="480" w:hanging="420" w:hangingChars="200"/>
        <w:jc w:val="left"/>
        <w:rPr>
          <w:rFonts w:hint="eastAsia" w:asciiTheme="minorEastAsia" w:hAnsiTheme="minorEastAsia" w:eastAsiaTheme="minorEastAsia" w:cstheme="minorEastAsia"/>
          <w:sz w:val="21"/>
          <w:szCs w:val="21"/>
          <w:lang w:val="zh-CN"/>
        </w:rPr>
      </w:pPr>
    </w:p>
    <w:p>
      <w:pPr>
        <w:wordWrap w:val="0"/>
        <w:autoSpaceDE w:val="0"/>
        <w:spacing w:line="240" w:lineRule="auto"/>
        <w:ind w:left="480" w:hanging="420" w:hangingChars="200"/>
        <w:jc w:val="left"/>
        <w:rPr>
          <w:rFonts w:hint="eastAsia" w:asciiTheme="minorEastAsia" w:hAnsiTheme="minorEastAsia" w:eastAsiaTheme="minorEastAsia" w:cstheme="minorEastAsia"/>
          <w:sz w:val="21"/>
          <w:szCs w:val="21"/>
          <w:lang w:val="zh-CN"/>
        </w:rPr>
      </w:pPr>
    </w:p>
    <w:p>
      <w:pPr>
        <w:wordWrap w:val="0"/>
        <w:autoSpaceDE w:val="0"/>
        <w:spacing w:line="240" w:lineRule="auto"/>
        <w:ind w:left="480" w:hanging="420" w:hangingChars="200"/>
        <w:rPr>
          <w:rFonts w:hint="eastAsia" w:asciiTheme="minorEastAsia" w:hAnsiTheme="minorEastAsia" w:eastAsiaTheme="minorEastAsia" w:cstheme="minorEastAsia"/>
          <w:sz w:val="21"/>
          <w:szCs w:val="21"/>
          <w:lang w:val="zh-CN"/>
        </w:rPr>
      </w:pPr>
    </w:p>
    <w:sectPr>
      <w:type w:val="continuous"/>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rPr>
      <w:t>http://moaj.mospbs.com/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eastAsia="宋体"/>
        <w:lang w:eastAsia="zh-CN"/>
      </w:rPr>
      <w:drawing>
        <wp:inline distT="0" distB="0" distL="114300" distR="114300">
          <wp:extent cx="925195" cy="314960"/>
          <wp:effectExtent l="0" t="0" r="8255" b="8890"/>
          <wp:docPr id="2" name="图片 2"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4)"/>
                  <pic:cNvPicPr>
                    <a:picLocks noChangeAspect="1"/>
                  </pic:cNvPicPr>
                </pic:nvPicPr>
                <pic:blipFill>
                  <a:blip r:embed="rId1"/>
                  <a:stretch>
                    <a:fillRect/>
                  </a:stretch>
                </pic:blipFill>
                <pic:spPr>
                  <a:xfrm>
                    <a:off x="0" y="0"/>
                    <a:ext cx="925195" cy="314960"/>
                  </a:xfrm>
                  <a:prstGeom prst="rect">
                    <a:avLst/>
                  </a:prstGeom>
                  <a:noFill/>
                  <a:ln>
                    <a:noFill/>
                  </a:ln>
                </pic:spPr>
              </pic:pic>
            </a:graphicData>
          </a:graphic>
        </wp:inline>
      </w:drawing>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sz w:val="21"/>
        <w:szCs w:val="21"/>
        <w:lang w:val="en-US" w:eastAsia="zh-CN"/>
      </w:rPr>
      <w:t>《环球医学进展》202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年第</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卷第1期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2AD88"/>
    <w:multiLevelType w:val="singleLevel"/>
    <w:tmpl w:val="E202AD88"/>
    <w:lvl w:ilvl="0" w:tentative="0">
      <w:start w:val="1"/>
      <w:numFmt w:val="decimal"/>
      <w:suff w:val="nothing"/>
      <w:lvlText w:val="[%1]"/>
      <w:lvlJc w:val="left"/>
      <w:pPr>
        <w:tabs>
          <w:tab w:val="left" w:pos="0"/>
        </w:tabs>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mMzNGY1ZjkyODg3YTFjZmM4MDZhYTRlNGIzOTAifQ=="/>
  </w:docVars>
  <w:rsids>
    <w:rsidRoot w:val="00E72C00"/>
    <w:rsid w:val="001021F5"/>
    <w:rsid w:val="003D2959"/>
    <w:rsid w:val="00731C30"/>
    <w:rsid w:val="00C37AA6"/>
    <w:rsid w:val="00E72C00"/>
    <w:rsid w:val="00FE76C7"/>
    <w:rsid w:val="05EA4B8A"/>
    <w:rsid w:val="0D1150F2"/>
    <w:rsid w:val="106D43EE"/>
    <w:rsid w:val="110E5BD1"/>
    <w:rsid w:val="12EA61CA"/>
    <w:rsid w:val="15237DE9"/>
    <w:rsid w:val="1B150433"/>
    <w:rsid w:val="20166850"/>
    <w:rsid w:val="265E6026"/>
    <w:rsid w:val="2ED40002"/>
    <w:rsid w:val="312863E3"/>
    <w:rsid w:val="31532D34"/>
    <w:rsid w:val="31E7004C"/>
    <w:rsid w:val="320504D2"/>
    <w:rsid w:val="32E3706F"/>
    <w:rsid w:val="3A7B0F61"/>
    <w:rsid w:val="3E0B0C1F"/>
    <w:rsid w:val="40A26274"/>
    <w:rsid w:val="424E37D0"/>
    <w:rsid w:val="43EF2D90"/>
    <w:rsid w:val="49380080"/>
    <w:rsid w:val="499441BE"/>
    <w:rsid w:val="4A5B4CDC"/>
    <w:rsid w:val="4AAF2318"/>
    <w:rsid w:val="4AFA44F5"/>
    <w:rsid w:val="4DC31516"/>
    <w:rsid w:val="513B1B51"/>
    <w:rsid w:val="51600E2A"/>
    <w:rsid w:val="6299114A"/>
    <w:rsid w:val="6D45175D"/>
    <w:rsid w:val="6ECD58D6"/>
    <w:rsid w:val="75C80BC8"/>
    <w:rsid w:val="79B80335"/>
    <w:rsid w:val="7D965A4F"/>
    <w:rsid w:val="7DCF6E4A"/>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2941</Words>
  <Characters>3911</Characters>
  <Lines>29</Lines>
  <Paragraphs>8</Paragraphs>
  <TotalTime>2</TotalTime>
  <ScaleCrop>false</ScaleCrop>
  <LinksUpToDate>false</LinksUpToDate>
  <CharactersWithSpaces>4007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2023-12-05T17:34:00Z</dcterms:created>
  <dc:creator>Administrator</dc:creator>
  <cp:lastModifiedBy>奚溪西嘻</cp:lastModifiedBy>
  <dcterms:modified xsi:type="dcterms:W3CDTF">2024-02-27T01:44:40Z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70D85867E7F64C678DCABF80084EFA37_13</vt:lpwstr>
  </property>
</Properties>
</file>